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12F26" w14:textId="77777777" w:rsidR="00864DB9" w:rsidRDefault="002F5AA0" w:rsidP="00864DB9">
      <w:pPr>
        <w:spacing w:after="200"/>
        <w:jc w:val="center"/>
        <w:rPr>
          <w:b/>
          <w:sz w:val="26"/>
          <w:szCs w:val="26"/>
        </w:rPr>
      </w:pPr>
      <w:bookmarkStart w:id="0" w:name="_GoBack"/>
      <w:bookmarkEnd w:id="0"/>
      <w:r w:rsidRPr="002F5AA0">
        <w:rPr>
          <w:b/>
          <w:sz w:val="26"/>
          <w:szCs w:val="26"/>
        </w:rPr>
        <w:t xml:space="preserve">Schema </w:t>
      </w:r>
      <w:r w:rsidR="00864DB9">
        <w:rPr>
          <w:b/>
          <w:sz w:val="26"/>
          <w:szCs w:val="26"/>
        </w:rPr>
        <w:t xml:space="preserve">tipo della </w:t>
      </w:r>
    </w:p>
    <w:p w14:paraId="7D1F72B7" w14:textId="40C13754" w:rsidR="005316ED" w:rsidRDefault="00864DB9" w:rsidP="00F43F96">
      <w:pPr>
        <w:jc w:val="center"/>
      </w:pPr>
      <w:r>
        <w:rPr>
          <w:b/>
          <w:sz w:val="26"/>
          <w:szCs w:val="26"/>
        </w:rPr>
        <w:t>RELAZIONE DI ACCOMPAGNAMENTO</w:t>
      </w:r>
    </w:p>
    <w:p w14:paraId="45282682" w14:textId="14639440" w:rsidR="0002445F" w:rsidRDefault="004D66F5" w:rsidP="00DB7353">
      <w:pPr>
        <w:spacing w:before="240" w:after="240"/>
        <w:jc w:val="center"/>
        <w:rPr>
          <w:b/>
          <w:bCs/>
          <w:sz w:val="26"/>
          <w:szCs w:val="26"/>
        </w:rPr>
      </w:pPr>
      <w:r>
        <w:rPr>
          <w:b/>
          <w:bCs/>
          <w:sz w:val="26"/>
          <w:szCs w:val="26"/>
        </w:rPr>
        <w:t>(Aggiornamento tariffario biennale 2024-2025)</w:t>
      </w:r>
    </w:p>
    <w:p w14:paraId="0AAD0F9F" w14:textId="77777777" w:rsidR="0002445F" w:rsidRDefault="0002445F" w:rsidP="003E62EC">
      <w:pPr>
        <w:spacing w:before="240" w:after="240"/>
        <w:rPr>
          <w:b/>
          <w:bCs/>
          <w:sz w:val="26"/>
          <w:szCs w:val="26"/>
        </w:rPr>
      </w:pPr>
    </w:p>
    <w:p w14:paraId="1EC2BA6F" w14:textId="305A138F" w:rsidR="00DF1881" w:rsidRPr="003E62EC" w:rsidRDefault="00DF1881" w:rsidP="003E62EC">
      <w:pPr>
        <w:spacing w:before="240" w:after="240"/>
        <w:rPr>
          <w:sz w:val="26"/>
          <w:szCs w:val="26"/>
        </w:rPr>
      </w:pPr>
      <w:r w:rsidRPr="003E62EC">
        <w:rPr>
          <w:b/>
          <w:bCs/>
          <w:sz w:val="26"/>
          <w:szCs w:val="26"/>
        </w:rPr>
        <w:t>Introduzione metodologica</w:t>
      </w:r>
    </w:p>
    <w:p w14:paraId="2F76F6C9" w14:textId="4E880732" w:rsidR="00DF1881" w:rsidRPr="009A4FDD" w:rsidRDefault="00DF1881" w:rsidP="00F6185D">
      <w:pPr>
        <w:shd w:val="clear" w:color="auto" w:fill="FFFFFF" w:themeFill="background1"/>
        <w:rPr>
          <w:i/>
          <w:iCs/>
        </w:rPr>
      </w:pPr>
      <w:r w:rsidRPr="009A4FDD">
        <w:rPr>
          <w:i/>
          <w:iCs/>
        </w:rPr>
        <w:t xml:space="preserve">La presente relazione si compone di cinque capitoli, alcuni da redigersi a cura dell’Ente territorialmente competente </w:t>
      </w:r>
      <w:r w:rsidR="00D3431A">
        <w:rPr>
          <w:i/>
          <w:iCs/>
        </w:rPr>
        <w:t>(</w:t>
      </w:r>
      <w:r w:rsidR="00020DD0">
        <w:rPr>
          <w:i/>
          <w:iCs/>
        </w:rPr>
        <w:t xml:space="preserve">di seguito anche </w:t>
      </w:r>
      <w:r w:rsidR="00D3431A" w:rsidRPr="00BF6F2C">
        <w:rPr>
          <w:b/>
          <w:bCs/>
          <w:i/>
          <w:iCs/>
        </w:rPr>
        <w:t>ETC</w:t>
      </w:r>
      <w:r w:rsidR="00D3431A">
        <w:rPr>
          <w:i/>
          <w:iCs/>
        </w:rPr>
        <w:t xml:space="preserve">) </w:t>
      </w:r>
      <w:r w:rsidR="00DA60C6" w:rsidRPr="00F6185D">
        <w:rPr>
          <w:i/>
          <w:iCs/>
        </w:rPr>
        <w:t xml:space="preserve">ovvero del soggetto delegato allo svolgimento dell’attività di validazione </w:t>
      </w:r>
      <w:r w:rsidRPr="00F6185D">
        <w:rPr>
          <w:i/>
          <w:iCs/>
        </w:rPr>
        <w:t>(capitoli 1</w:t>
      </w:r>
      <w:r w:rsidR="00DA60C6" w:rsidRPr="00F6185D">
        <w:rPr>
          <w:i/>
          <w:iCs/>
        </w:rPr>
        <w:t>,4</w:t>
      </w:r>
      <w:r w:rsidRPr="00F6185D">
        <w:rPr>
          <w:i/>
          <w:iCs/>
        </w:rPr>
        <w:t xml:space="preserve"> e 5), altri a cura del/i gestore/i (</w:t>
      </w:r>
      <w:r w:rsidR="00020DD0" w:rsidRPr="00020DD0">
        <w:rPr>
          <w:b/>
          <w:bCs/>
          <w:i/>
          <w:iCs/>
        </w:rPr>
        <w:t>G</w:t>
      </w:r>
      <w:r w:rsidR="00020DD0">
        <w:rPr>
          <w:i/>
          <w:iCs/>
        </w:rPr>
        <w:t xml:space="preserve">, </w:t>
      </w:r>
      <w:r w:rsidRPr="00F6185D">
        <w:rPr>
          <w:i/>
          <w:iCs/>
        </w:rPr>
        <w:t>capitoli 2 e 3).</w:t>
      </w:r>
    </w:p>
    <w:p w14:paraId="01E65B49" w14:textId="2AB354E7" w:rsidR="00DF1881" w:rsidRPr="009A4FDD" w:rsidRDefault="00DF1881" w:rsidP="00DF1881">
      <w:pPr>
        <w:rPr>
          <w:i/>
          <w:iCs/>
        </w:rPr>
      </w:pPr>
      <w:r w:rsidRPr="009A4FDD">
        <w:rPr>
          <w:i/>
          <w:iCs/>
        </w:rPr>
        <w:t xml:space="preserve">Le informazioni, i dati e le </w:t>
      </w:r>
      <w:r w:rsidR="00E4085F">
        <w:rPr>
          <w:i/>
          <w:iCs/>
        </w:rPr>
        <w:t xml:space="preserve">valutazioni </w:t>
      </w:r>
      <w:r w:rsidRPr="009A4FDD">
        <w:rPr>
          <w:i/>
          <w:iCs/>
        </w:rPr>
        <w:t xml:space="preserve">da inserire nei vari capitoli devono coprire l’orizzonte temporale del </w:t>
      </w:r>
      <w:r w:rsidR="00137CF7">
        <w:rPr>
          <w:i/>
          <w:iCs/>
        </w:rPr>
        <w:t xml:space="preserve">biennio </w:t>
      </w:r>
      <w:r w:rsidR="00DF577F">
        <w:rPr>
          <w:i/>
          <w:iCs/>
        </w:rPr>
        <w:t>2024-2025</w:t>
      </w:r>
      <w:r w:rsidRPr="009A4FDD">
        <w:rPr>
          <w:i/>
          <w:iCs/>
        </w:rPr>
        <w:t>.</w:t>
      </w:r>
    </w:p>
    <w:p w14:paraId="7D489FF6" w14:textId="77777777" w:rsidR="00DF1881" w:rsidRPr="009A4FDD" w:rsidRDefault="00DF1881" w:rsidP="00DF1881">
      <w:pPr>
        <w:rPr>
          <w:i/>
          <w:iCs/>
        </w:rPr>
      </w:pPr>
      <w:r w:rsidRPr="009A4FDD">
        <w:rPr>
          <w:i/>
          <w:iCs/>
        </w:rPr>
        <w:t xml:space="preserve">L’Ente territorialmente competente rimane il soggetto responsabile dell’elaborazione finale della presente relazione e della sua trasmissione all’Autorità unitamente agli altri atti – PEF, dichiarazione/i di veridicità, delibera/e di approvazione del PEF e delle tariffe all’utenza – che complessivamente costituiscono la predisposizione tariffaria da sottoporre all’approvazione di competenza dell’Autorità. </w:t>
      </w:r>
    </w:p>
    <w:p w14:paraId="662D9328" w14:textId="4FC22B72" w:rsidR="00DF1881" w:rsidRPr="009A4FDD" w:rsidRDefault="00DF1881" w:rsidP="00DF1881">
      <w:pPr>
        <w:rPr>
          <w:i/>
          <w:iCs/>
        </w:rPr>
      </w:pPr>
      <w:r w:rsidRPr="009A4FDD">
        <w:rPr>
          <w:i/>
          <w:iCs/>
        </w:rPr>
        <w:t>Il termine per tale trasmissione è fissato in 30 giorni decorrenti dall’adozione delle pertinenti determinazioni ovvero dal termine stabilito dalla normativa statale di riferimento per l’approvazione della TARI riferita all’anno 202</w:t>
      </w:r>
      <w:r w:rsidR="004A0711">
        <w:rPr>
          <w:i/>
          <w:iCs/>
        </w:rPr>
        <w:t>4</w:t>
      </w:r>
      <w:r w:rsidRPr="009A4FDD">
        <w:rPr>
          <w:i/>
          <w:iCs/>
        </w:rPr>
        <w:t xml:space="preserve">. </w:t>
      </w:r>
    </w:p>
    <w:p w14:paraId="1E75C82C" w14:textId="77777777" w:rsidR="00BD4048" w:rsidRDefault="00BD4048">
      <w:pPr>
        <w:jc w:val="left"/>
        <w:sectPr w:rsidR="00BD4048">
          <w:headerReference w:type="default" r:id="rId11"/>
          <w:footerReference w:type="even" r:id="rId12"/>
          <w:footerReference w:type="default" r:id="rId13"/>
          <w:pgSz w:w="11906" w:h="16838"/>
          <w:pgMar w:top="1701" w:right="1134" w:bottom="1134" w:left="1134" w:header="709" w:footer="709" w:gutter="0"/>
          <w:cols w:space="708"/>
          <w:docGrid w:linePitch="360"/>
        </w:sectPr>
      </w:pPr>
    </w:p>
    <w:p w14:paraId="736C656F" w14:textId="574C2008" w:rsidR="00152211" w:rsidRDefault="00152211">
      <w:pPr>
        <w:jc w:val="left"/>
      </w:pPr>
    </w:p>
    <w:bookmarkStart w:id="1" w:name="_Toc86134939" w:displacedByCustomXml="next"/>
    <w:bookmarkStart w:id="2" w:name="_Toc86135028" w:displacedByCustomXml="next"/>
    <w:bookmarkStart w:id="3" w:name="_Toc86135623" w:displacedByCustomXml="next"/>
    <w:sdt>
      <w:sdtPr>
        <w:rPr>
          <w:rFonts w:ascii="Times New Roman" w:eastAsia="Times New Roman" w:hAnsi="Times New Roman" w:cs="Times New Roman"/>
          <w:color w:val="auto"/>
          <w:sz w:val="24"/>
          <w:szCs w:val="24"/>
        </w:rPr>
        <w:id w:val="-1750886901"/>
        <w:docPartObj>
          <w:docPartGallery w:val="Table of Contents"/>
          <w:docPartUnique/>
        </w:docPartObj>
      </w:sdtPr>
      <w:sdtEndPr>
        <w:rPr>
          <w:b/>
          <w:bCs/>
        </w:rPr>
      </w:sdtEndPr>
      <w:sdtContent>
        <w:p w14:paraId="3CF36F2D" w14:textId="2909CB9E" w:rsidR="009C581C" w:rsidRPr="009C581C" w:rsidRDefault="009C581C">
          <w:pPr>
            <w:pStyle w:val="Titolosommario"/>
            <w:rPr>
              <w:rFonts w:ascii="Times New Roman" w:hAnsi="Times New Roman" w:cs="Times New Roman"/>
              <w:b/>
              <w:bCs/>
              <w:color w:val="auto"/>
              <w:sz w:val="26"/>
              <w:szCs w:val="26"/>
            </w:rPr>
          </w:pPr>
          <w:r w:rsidRPr="009C581C">
            <w:rPr>
              <w:rFonts w:ascii="Times New Roman" w:hAnsi="Times New Roman" w:cs="Times New Roman"/>
              <w:b/>
              <w:bCs/>
              <w:color w:val="auto"/>
              <w:sz w:val="26"/>
              <w:szCs w:val="26"/>
            </w:rPr>
            <w:t>Sommario</w:t>
          </w:r>
        </w:p>
        <w:p w14:paraId="78F3DEE5" w14:textId="55B706D6" w:rsidR="006A15DA" w:rsidRDefault="009C581C">
          <w:pPr>
            <w:pStyle w:val="Sommario1"/>
            <w:rPr>
              <w:rFonts w:asciiTheme="minorHAnsi" w:eastAsiaTheme="minorEastAsia" w:hAnsiTheme="minorHAnsi" w:cstheme="minorBidi"/>
              <w:b w:val="0"/>
              <w:kern w:val="2"/>
              <w:sz w:val="22"/>
              <w:szCs w:val="22"/>
              <w14:ligatures w14:val="standardContextual"/>
            </w:rPr>
          </w:pPr>
          <w:r>
            <w:fldChar w:fldCharType="begin"/>
          </w:r>
          <w:r>
            <w:instrText xml:space="preserve"> TOC \o "1-3" \h \z \u </w:instrText>
          </w:r>
          <w:r>
            <w:fldChar w:fldCharType="separate"/>
          </w:r>
          <w:hyperlink w:anchor="_Toc149660927" w:history="1">
            <w:r w:rsidR="006A15DA" w:rsidRPr="00297C9B">
              <w:rPr>
                <w:rStyle w:val="Collegamentoipertestuale"/>
              </w:rPr>
              <w:t>1</w:t>
            </w:r>
            <w:r w:rsidR="006A15DA">
              <w:rPr>
                <w:rFonts w:asciiTheme="minorHAnsi" w:eastAsiaTheme="minorEastAsia" w:hAnsiTheme="minorHAnsi" w:cstheme="minorBidi"/>
                <w:b w:val="0"/>
                <w:kern w:val="2"/>
                <w:sz w:val="22"/>
                <w:szCs w:val="22"/>
                <w14:ligatures w14:val="standardContextual"/>
              </w:rPr>
              <w:tab/>
            </w:r>
            <w:r w:rsidR="006A15DA" w:rsidRPr="00297C9B">
              <w:rPr>
                <w:rStyle w:val="Collegamentoipertestuale"/>
              </w:rPr>
              <w:t>Premessa (</w:t>
            </w:r>
            <w:r w:rsidR="006A15DA" w:rsidRPr="00297C9B">
              <w:rPr>
                <w:rStyle w:val="Collegamentoipertestuale"/>
                <w:i/>
                <w:iCs/>
              </w:rPr>
              <w:t>ETC</w:t>
            </w:r>
            <w:r w:rsidR="006A15DA" w:rsidRPr="00297C9B">
              <w:rPr>
                <w:rStyle w:val="Collegamentoipertestuale"/>
              </w:rPr>
              <w:t>)</w:t>
            </w:r>
            <w:r w:rsidR="006A15DA">
              <w:rPr>
                <w:webHidden/>
              </w:rPr>
              <w:tab/>
            </w:r>
            <w:r w:rsidR="006A15DA">
              <w:rPr>
                <w:webHidden/>
              </w:rPr>
              <w:fldChar w:fldCharType="begin"/>
            </w:r>
            <w:r w:rsidR="006A15DA">
              <w:rPr>
                <w:webHidden/>
              </w:rPr>
              <w:instrText xml:space="preserve"> PAGEREF _Toc149660927 \h </w:instrText>
            </w:r>
            <w:r w:rsidR="006A15DA">
              <w:rPr>
                <w:webHidden/>
              </w:rPr>
            </w:r>
            <w:r w:rsidR="006A15DA">
              <w:rPr>
                <w:webHidden/>
              </w:rPr>
              <w:fldChar w:fldCharType="separate"/>
            </w:r>
            <w:r w:rsidR="006A15DA">
              <w:rPr>
                <w:webHidden/>
              </w:rPr>
              <w:t>3</w:t>
            </w:r>
            <w:r w:rsidR="006A15DA">
              <w:rPr>
                <w:webHidden/>
              </w:rPr>
              <w:fldChar w:fldCharType="end"/>
            </w:r>
          </w:hyperlink>
        </w:p>
        <w:p w14:paraId="3EBAEF87" w14:textId="3BB6AF76"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28" w:history="1">
            <w:r w:rsidR="006A15DA" w:rsidRPr="00297C9B">
              <w:rPr>
                <w:rStyle w:val="Collegamentoipertestuale"/>
                <w:rFonts w:eastAsia="Times"/>
                <w:noProof/>
              </w:rPr>
              <w:t>1.1</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Comune/i ricompreso/i nell’ambito tariffario</w:t>
            </w:r>
            <w:r w:rsidR="006A15DA">
              <w:rPr>
                <w:noProof/>
                <w:webHidden/>
              </w:rPr>
              <w:tab/>
            </w:r>
            <w:r w:rsidR="006A15DA">
              <w:rPr>
                <w:noProof/>
                <w:webHidden/>
              </w:rPr>
              <w:fldChar w:fldCharType="begin"/>
            </w:r>
            <w:r w:rsidR="006A15DA">
              <w:rPr>
                <w:noProof/>
                <w:webHidden/>
              </w:rPr>
              <w:instrText xml:space="preserve"> PAGEREF _Toc149660928 \h </w:instrText>
            </w:r>
            <w:r w:rsidR="006A15DA">
              <w:rPr>
                <w:noProof/>
                <w:webHidden/>
              </w:rPr>
            </w:r>
            <w:r w:rsidR="006A15DA">
              <w:rPr>
                <w:noProof/>
                <w:webHidden/>
              </w:rPr>
              <w:fldChar w:fldCharType="separate"/>
            </w:r>
            <w:r w:rsidR="006A15DA">
              <w:rPr>
                <w:noProof/>
                <w:webHidden/>
              </w:rPr>
              <w:t>3</w:t>
            </w:r>
            <w:r w:rsidR="006A15DA">
              <w:rPr>
                <w:noProof/>
                <w:webHidden/>
              </w:rPr>
              <w:fldChar w:fldCharType="end"/>
            </w:r>
          </w:hyperlink>
        </w:p>
        <w:p w14:paraId="2483DD18" w14:textId="14E443EA"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29" w:history="1">
            <w:r w:rsidR="006A15DA" w:rsidRPr="00297C9B">
              <w:rPr>
                <w:rStyle w:val="Collegamentoipertestuale"/>
                <w:rFonts w:eastAsia="Times"/>
                <w:noProof/>
              </w:rPr>
              <w:t>1.2</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Soggetti gestori per ciascun ambito tariffario</w:t>
            </w:r>
            <w:r w:rsidR="006A15DA">
              <w:rPr>
                <w:noProof/>
                <w:webHidden/>
              </w:rPr>
              <w:tab/>
            </w:r>
            <w:r w:rsidR="006A15DA">
              <w:rPr>
                <w:noProof/>
                <w:webHidden/>
              </w:rPr>
              <w:fldChar w:fldCharType="begin"/>
            </w:r>
            <w:r w:rsidR="006A15DA">
              <w:rPr>
                <w:noProof/>
                <w:webHidden/>
              </w:rPr>
              <w:instrText xml:space="preserve"> PAGEREF _Toc149660929 \h </w:instrText>
            </w:r>
            <w:r w:rsidR="006A15DA">
              <w:rPr>
                <w:noProof/>
                <w:webHidden/>
              </w:rPr>
            </w:r>
            <w:r w:rsidR="006A15DA">
              <w:rPr>
                <w:noProof/>
                <w:webHidden/>
              </w:rPr>
              <w:fldChar w:fldCharType="separate"/>
            </w:r>
            <w:r w:rsidR="006A15DA">
              <w:rPr>
                <w:noProof/>
                <w:webHidden/>
              </w:rPr>
              <w:t>3</w:t>
            </w:r>
            <w:r w:rsidR="006A15DA">
              <w:rPr>
                <w:noProof/>
                <w:webHidden/>
              </w:rPr>
              <w:fldChar w:fldCharType="end"/>
            </w:r>
          </w:hyperlink>
        </w:p>
        <w:p w14:paraId="71C5AD65" w14:textId="6C3A38CE"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30" w:history="1">
            <w:r w:rsidR="006A15DA" w:rsidRPr="00297C9B">
              <w:rPr>
                <w:rStyle w:val="Collegamentoipertestuale"/>
                <w:rFonts w:eastAsia="Times"/>
                <w:noProof/>
              </w:rPr>
              <w:t>1.3</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Impianti di chiusura del ciclo del gestore integrato</w:t>
            </w:r>
            <w:r w:rsidR="006A15DA">
              <w:rPr>
                <w:noProof/>
                <w:webHidden/>
              </w:rPr>
              <w:tab/>
            </w:r>
            <w:r w:rsidR="006A15DA">
              <w:rPr>
                <w:noProof/>
                <w:webHidden/>
              </w:rPr>
              <w:fldChar w:fldCharType="begin"/>
            </w:r>
            <w:r w:rsidR="006A15DA">
              <w:rPr>
                <w:noProof/>
                <w:webHidden/>
              </w:rPr>
              <w:instrText xml:space="preserve"> PAGEREF _Toc149660930 \h </w:instrText>
            </w:r>
            <w:r w:rsidR="006A15DA">
              <w:rPr>
                <w:noProof/>
                <w:webHidden/>
              </w:rPr>
            </w:r>
            <w:r w:rsidR="006A15DA">
              <w:rPr>
                <w:noProof/>
                <w:webHidden/>
              </w:rPr>
              <w:fldChar w:fldCharType="separate"/>
            </w:r>
            <w:r w:rsidR="006A15DA">
              <w:rPr>
                <w:noProof/>
                <w:webHidden/>
              </w:rPr>
              <w:t>3</w:t>
            </w:r>
            <w:r w:rsidR="006A15DA">
              <w:rPr>
                <w:noProof/>
                <w:webHidden/>
              </w:rPr>
              <w:fldChar w:fldCharType="end"/>
            </w:r>
          </w:hyperlink>
        </w:p>
        <w:p w14:paraId="4799E710" w14:textId="6B07B43C"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31" w:history="1">
            <w:r w:rsidR="006A15DA" w:rsidRPr="00297C9B">
              <w:rPr>
                <w:rStyle w:val="Collegamentoipertestuale"/>
                <w:rFonts w:eastAsia="Times"/>
                <w:noProof/>
              </w:rPr>
              <w:t>1.4</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Documentazione per ciascun ambito tariffario</w:t>
            </w:r>
            <w:r w:rsidR="006A15DA">
              <w:rPr>
                <w:noProof/>
                <w:webHidden/>
              </w:rPr>
              <w:tab/>
            </w:r>
            <w:r w:rsidR="006A15DA">
              <w:rPr>
                <w:noProof/>
                <w:webHidden/>
              </w:rPr>
              <w:fldChar w:fldCharType="begin"/>
            </w:r>
            <w:r w:rsidR="006A15DA">
              <w:rPr>
                <w:noProof/>
                <w:webHidden/>
              </w:rPr>
              <w:instrText xml:space="preserve"> PAGEREF _Toc149660931 \h </w:instrText>
            </w:r>
            <w:r w:rsidR="006A15DA">
              <w:rPr>
                <w:noProof/>
                <w:webHidden/>
              </w:rPr>
            </w:r>
            <w:r w:rsidR="006A15DA">
              <w:rPr>
                <w:noProof/>
                <w:webHidden/>
              </w:rPr>
              <w:fldChar w:fldCharType="separate"/>
            </w:r>
            <w:r w:rsidR="006A15DA">
              <w:rPr>
                <w:noProof/>
                <w:webHidden/>
              </w:rPr>
              <w:t>3</w:t>
            </w:r>
            <w:r w:rsidR="006A15DA">
              <w:rPr>
                <w:noProof/>
                <w:webHidden/>
              </w:rPr>
              <w:fldChar w:fldCharType="end"/>
            </w:r>
          </w:hyperlink>
        </w:p>
        <w:p w14:paraId="764235E3" w14:textId="119A0AFE"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32" w:history="1">
            <w:r w:rsidR="006A15DA" w:rsidRPr="00297C9B">
              <w:rPr>
                <w:rStyle w:val="Collegamentoipertestuale"/>
                <w:rFonts w:eastAsia="Times"/>
                <w:noProof/>
              </w:rPr>
              <w:t>1.5</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Altri elementi da segnalare</w:t>
            </w:r>
            <w:r w:rsidR="006A15DA">
              <w:rPr>
                <w:noProof/>
                <w:webHidden/>
              </w:rPr>
              <w:tab/>
            </w:r>
            <w:r w:rsidR="006A15DA">
              <w:rPr>
                <w:noProof/>
                <w:webHidden/>
              </w:rPr>
              <w:fldChar w:fldCharType="begin"/>
            </w:r>
            <w:r w:rsidR="006A15DA">
              <w:rPr>
                <w:noProof/>
                <w:webHidden/>
              </w:rPr>
              <w:instrText xml:space="preserve"> PAGEREF _Toc149660932 \h </w:instrText>
            </w:r>
            <w:r w:rsidR="006A15DA">
              <w:rPr>
                <w:noProof/>
                <w:webHidden/>
              </w:rPr>
            </w:r>
            <w:r w:rsidR="006A15DA">
              <w:rPr>
                <w:noProof/>
                <w:webHidden/>
              </w:rPr>
              <w:fldChar w:fldCharType="separate"/>
            </w:r>
            <w:r w:rsidR="006A15DA">
              <w:rPr>
                <w:noProof/>
                <w:webHidden/>
              </w:rPr>
              <w:t>4</w:t>
            </w:r>
            <w:r w:rsidR="006A15DA">
              <w:rPr>
                <w:noProof/>
                <w:webHidden/>
              </w:rPr>
              <w:fldChar w:fldCharType="end"/>
            </w:r>
          </w:hyperlink>
        </w:p>
        <w:p w14:paraId="651A46F0" w14:textId="4F2440DA" w:rsidR="006A15DA" w:rsidRDefault="00C22B24">
          <w:pPr>
            <w:pStyle w:val="Sommario1"/>
            <w:rPr>
              <w:rFonts w:asciiTheme="minorHAnsi" w:eastAsiaTheme="minorEastAsia" w:hAnsiTheme="minorHAnsi" w:cstheme="minorBidi"/>
              <w:b w:val="0"/>
              <w:kern w:val="2"/>
              <w:sz w:val="22"/>
              <w:szCs w:val="22"/>
              <w14:ligatures w14:val="standardContextual"/>
            </w:rPr>
          </w:pPr>
          <w:hyperlink w:anchor="_Toc149660933" w:history="1">
            <w:r w:rsidR="006A15DA" w:rsidRPr="00297C9B">
              <w:rPr>
                <w:rStyle w:val="Collegamentoipertestuale"/>
              </w:rPr>
              <w:t>2</w:t>
            </w:r>
            <w:r w:rsidR="006A15DA">
              <w:rPr>
                <w:rFonts w:asciiTheme="minorHAnsi" w:eastAsiaTheme="minorEastAsia" w:hAnsiTheme="minorHAnsi" w:cstheme="minorBidi"/>
                <w:b w:val="0"/>
                <w:kern w:val="2"/>
                <w:sz w:val="22"/>
                <w:szCs w:val="22"/>
                <w14:ligatures w14:val="standardContextual"/>
              </w:rPr>
              <w:tab/>
            </w:r>
            <w:r w:rsidR="006A15DA" w:rsidRPr="00297C9B">
              <w:rPr>
                <w:rStyle w:val="Collegamentoipertestuale"/>
              </w:rPr>
              <w:t>Descrizione dei servizi forniti (G)</w:t>
            </w:r>
            <w:r w:rsidR="006A15DA">
              <w:rPr>
                <w:webHidden/>
              </w:rPr>
              <w:tab/>
            </w:r>
            <w:r w:rsidR="006A15DA">
              <w:rPr>
                <w:webHidden/>
              </w:rPr>
              <w:fldChar w:fldCharType="begin"/>
            </w:r>
            <w:r w:rsidR="006A15DA">
              <w:rPr>
                <w:webHidden/>
              </w:rPr>
              <w:instrText xml:space="preserve"> PAGEREF _Toc149660933 \h </w:instrText>
            </w:r>
            <w:r w:rsidR="006A15DA">
              <w:rPr>
                <w:webHidden/>
              </w:rPr>
            </w:r>
            <w:r w:rsidR="006A15DA">
              <w:rPr>
                <w:webHidden/>
              </w:rPr>
              <w:fldChar w:fldCharType="separate"/>
            </w:r>
            <w:r w:rsidR="006A15DA">
              <w:rPr>
                <w:webHidden/>
              </w:rPr>
              <w:t>4</w:t>
            </w:r>
            <w:r w:rsidR="006A15DA">
              <w:rPr>
                <w:webHidden/>
              </w:rPr>
              <w:fldChar w:fldCharType="end"/>
            </w:r>
          </w:hyperlink>
        </w:p>
        <w:p w14:paraId="3C206098" w14:textId="073D89FF"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34" w:history="1">
            <w:r w:rsidR="006A15DA" w:rsidRPr="00297C9B">
              <w:rPr>
                <w:rStyle w:val="Collegamentoipertestuale"/>
                <w:rFonts w:eastAsia="Times"/>
                <w:noProof/>
              </w:rPr>
              <w:t>2.1</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Perimetro della gestione/affidamento e servizi forniti</w:t>
            </w:r>
            <w:r w:rsidR="006A15DA">
              <w:rPr>
                <w:noProof/>
                <w:webHidden/>
              </w:rPr>
              <w:tab/>
            </w:r>
            <w:r w:rsidR="006A15DA">
              <w:rPr>
                <w:noProof/>
                <w:webHidden/>
              </w:rPr>
              <w:fldChar w:fldCharType="begin"/>
            </w:r>
            <w:r w:rsidR="006A15DA">
              <w:rPr>
                <w:noProof/>
                <w:webHidden/>
              </w:rPr>
              <w:instrText xml:space="preserve"> PAGEREF _Toc149660934 \h </w:instrText>
            </w:r>
            <w:r w:rsidR="006A15DA">
              <w:rPr>
                <w:noProof/>
                <w:webHidden/>
              </w:rPr>
            </w:r>
            <w:r w:rsidR="006A15DA">
              <w:rPr>
                <w:noProof/>
                <w:webHidden/>
              </w:rPr>
              <w:fldChar w:fldCharType="separate"/>
            </w:r>
            <w:r w:rsidR="006A15DA">
              <w:rPr>
                <w:noProof/>
                <w:webHidden/>
              </w:rPr>
              <w:t>4</w:t>
            </w:r>
            <w:r w:rsidR="006A15DA">
              <w:rPr>
                <w:noProof/>
                <w:webHidden/>
              </w:rPr>
              <w:fldChar w:fldCharType="end"/>
            </w:r>
          </w:hyperlink>
        </w:p>
        <w:p w14:paraId="41268747" w14:textId="5434C2D2"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35" w:history="1">
            <w:r w:rsidR="006A15DA" w:rsidRPr="00297C9B">
              <w:rPr>
                <w:rStyle w:val="Collegamentoipertestuale"/>
                <w:rFonts w:eastAsia="Times"/>
                <w:noProof/>
              </w:rPr>
              <w:t>2.2</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Altre informazioni rilevanti</w:t>
            </w:r>
            <w:r w:rsidR="006A15DA">
              <w:rPr>
                <w:noProof/>
                <w:webHidden/>
              </w:rPr>
              <w:tab/>
            </w:r>
            <w:r w:rsidR="006A15DA">
              <w:rPr>
                <w:noProof/>
                <w:webHidden/>
              </w:rPr>
              <w:fldChar w:fldCharType="begin"/>
            </w:r>
            <w:r w:rsidR="006A15DA">
              <w:rPr>
                <w:noProof/>
                <w:webHidden/>
              </w:rPr>
              <w:instrText xml:space="preserve"> PAGEREF _Toc149660935 \h </w:instrText>
            </w:r>
            <w:r w:rsidR="006A15DA">
              <w:rPr>
                <w:noProof/>
                <w:webHidden/>
              </w:rPr>
            </w:r>
            <w:r w:rsidR="006A15DA">
              <w:rPr>
                <w:noProof/>
                <w:webHidden/>
              </w:rPr>
              <w:fldChar w:fldCharType="separate"/>
            </w:r>
            <w:r w:rsidR="006A15DA">
              <w:rPr>
                <w:noProof/>
                <w:webHidden/>
              </w:rPr>
              <w:t>6</w:t>
            </w:r>
            <w:r w:rsidR="006A15DA">
              <w:rPr>
                <w:noProof/>
                <w:webHidden/>
              </w:rPr>
              <w:fldChar w:fldCharType="end"/>
            </w:r>
          </w:hyperlink>
        </w:p>
        <w:p w14:paraId="7E208362" w14:textId="58C4F6B0" w:rsidR="006A15DA" w:rsidRDefault="00C22B24">
          <w:pPr>
            <w:pStyle w:val="Sommario1"/>
            <w:rPr>
              <w:rFonts w:asciiTheme="minorHAnsi" w:eastAsiaTheme="minorEastAsia" w:hAnsiTheme="minorHAnsi" w:cstheme="minorBidi"/>
              <w:b w:val="0"/>
              <w:kern w:val="2"/>
              <w:sz w:val="22"/>
              <w:szCs w:val="22"/>
              <w14:ligatures w14:val="standardContextual"/>
            </w:rPr>
          </w:pPr>
          <w:hyperlink w:anchor="_Toc149660936" w:history="1">
            <w:r w:rsidR="006A15DA" w:rsidRPr="00297C9B">
              <w:rPr>
                <w:rStyle w:val="Collegamentoipertestuale"/>
              </w:rPr>
              <w:t>3</w:t>
            </w:r>
            <w:r w:rsidR="006A15DA">
              <w:rPr>
                <w:rFonts w:asciiTheme="minorHAnsi" w:eastAsiaTheme="minorEastAsia" w:hAnsiTheme="minorHAnsi" w:cstheme="minorBidi"/>
                <w:b w:val="0"/>
                <w:kern w:val="2"/>
                <w:sz w:val="22"/>
                <w:szCs w:val="22"/>
                <w14:ligatures w14:val="standardContextual"/>
              </w:rPr>
              <w:tab/>
            </w:r>
            <w:r w:rsidR="006A15DA" w:rsidRPr="00297C9B">
              <w:rPr>
                <w:rStyle w:val="Collegamentoipertestuale"/>
              </w:rPr>
              <w:t>Dati relativi alla gestione dell’ambito tariffario (G)</w:t>
            </w:r>
            <w:r w:rsidR="006A15DA">
              <w:rPr>
                <w:webHidden/>
              </w:rPr>
              <w:tab/>
            </w:r>
            <w:r w:rsidR="006A15DA">
              <w:rPr>
                <w:webHidden/>
              </w:rPr>
              <w:fldChar w:fldCharType="begin"/>
            </w:r>
            <w:r w:rsidR="006A15DA">
              <w:rPr>
                <w:webHidden/>
              </w:rPr>
              <w:instrText xml:space="preserve"> PAGEREF _Toc149660936 \h </w:instrText>
            </w:r>
            <w:r w:rsidR="006A15DA">
              <w:rPr>
                <w:webHidden/>
              </w:rPr>
            </w:r>
            <w:r w:rsidR="006A15DA">
              <w:rPr>
                <w:webHidden/>
              </w:rPr>
              <w:fldChar w:fldCharType="separate"/>
            </w:r>
            <w:r w:rsidR="006A15DA">
              <w:rPr>
                <w:webHidden/>
              </w:rPr>
              <w:t>6</w:t>
            </w:r>
            <w:r w:rsidR="006A15DA">
              <w:rPr>
                <w:webHidden/>
              </w:rPr>
              <w:fldChar w:fldCharType="end"/>
            </w:r>
          </w:hyperlink>
        </w:p>
        <w:p w14:paraId="405D4994" w14:textId="6E231085"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37" w:history="1">
            <w:r w:rsidR="006A15DA" w:rsidRPr="00297C9B">
              <w:rPr>
                <w:rStyle w:val="Collegamentoipertestuale"/>
                <w:rFonts w:eastAsia="Times"/>
                <w:noProof/>
              </w:rPr>
              <w:t>3.1</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Dati tecnici e patrimoniali</w:t>
            </w:r>
            <w:r w:rsidR="006A15DA">
              <w:rPr>
                <w:noProof/>
                <w:webHidden/>
              </w:rPr>
              <w:tab/>
            </w:r>
            <w:r w:rsidR="006A15DA">
              <w:rPr>
                <w:noProof/>
                <w:webHidden/>
              </w:rPr>
              <w:fldChar w:fldCharType="begin"/>
            </w:r>
            <w:r w:rsidR="006A15DA">
              <w:rPr>
                <w:noProof/>
                <w:webHidden/>
              </w:rPr>
              <w:instrText xml:space="preserve"> PAGEREF _Toc149660937 \h </w:instrText>
            </w:r>
            <w:r w:rsidR="006A15DA">
              <w:rPr>
                <w:noProof/>
                <w:webHidden/>
              </w:rPr>
            </w:r>
            <w:r w:rsidR="006A15DA">
              <w:rPr>
                <w:noProof/>
                <w:webHidden/>
              </w:rPr>
              <w:fldChar w:fldCharType="separate"/>
            </w:r>
            <w:r w:rsidR="006A15DA">
              <w:rPr>
                <w:noProof/>
                <w:webHidden/>
              </w:rPr>
              <w:t>6</w:t>
            </w:r>
            <w:r w:rsidR="006A15DA">
              <w:rPr>
                <w:noProof/>
                <w:webHidden/>
              </w:rPr>
              <w:fldChar w:fldCharType="end"/>
            </w:r>
          </w:hyperlink>
        </w:p>
        <w:p w14:paraId="55DC79B9" w14:textId="38676C0B" w:rsidR="006A15DA" w:rsidRDefault="00C22B24">
          <w:pPr>
            <w:pStyle w:val="Sommario3"/>
            <w:tabs>
              <w:tab w:val="left" w:pos="1871"/>
            </w:tabs>
            <w:rPr>
              <w:rFonts w:asciiTheme="minorHAnsi" w:eastAsiaTheme="minorEastAsia" w:hAnsiTheme="minorHAnsi" w:cstheme="minorBidi"/>
              <w:noProof/>
              <w:kern w:val="2"/>
              <w:sz w:val="22"/>
              <w:szCs w:val="22"/>
              <w14:ligatures w14:val="standardContextual"/>
            </w:rPr>
          </w:pPr>
          <w:hyperlink w:anchor="_Toc149660938" w:history="1">
            <w:r w:rsidR="006A15DA" w:rsidRPr="00297C9B">
              <w:rPr>
                <w:rStyle w:val="Collegamentoipertestuale"/>
                <w:rFonts w:eastAsia="Times"/>
                <w:noProof/>
              </w:rPr>
              <w:t>3.1.1</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Dati sul territorio gestito e sull’affidamento</w:t>
            </w:r>
            <w:r w:rsidR="006A15DA">
              <w:rPr>
                <w:noProof/>
                <w:webHidden/>
              </w:rPr>
              <w:tab/>
            </w:r>
            <w:r w:rsidR="006A15DA">
              <w:rPr>
                <w:noProof/>
                <w:webHidden/>
              </w:rPr>
              <w:fldChar w:fldCharType="begin"/>
            </w:r>
            <w:r w:rsidR="006A15DA">
              <w:rPr>
                <w:noProof/>
                <w:webHidden/>
              </w:rPr>
              <w:instrText xml:space="preserve"> PAGEREF _Toc149660938 \h </w:instrText>
            </w:r>
            <w:r w:rsidR="006A15DA">
              <w:rPr>
                <w:noProof/>
                <w:webHidden/>
              </w:rPr>
            </w:r>
            <w:r w:rsidR="006A15DA">
              <w:rPr>
                <w:noProof/>
                <w:webHidden/>
              </w:rPr>
              <w:fldChar w:fldCharType="separate"/>
            </w:r>
            <w:r w:rsidR="006A15DA">
              <w:rPr>
                <w:noProof/>
                <w:webHidden/>
              </w:rPr>
              <w:t>6</w:t>
            </w:r>
            <w:r w:rsidR="006A15DA">
              <w:rPr>
                <w:noProof/>
                <w:webHidden/>
              </w:rPr>
              <w:fldChar w:fldCharType="end"/>
            </w:r>
          </w:hyperlink>
        </w:p>
        <w:p w14:paraId="06368893" w14:textId="45B3083D" w:rsidR="006A15DA" w:rsidRDefault="00C22B24">
          <w:pPr>
            <w:pStyle w:val="Sommario3"/>
            <w:tabs>
              <w:tab w:val="left" w:pos="1871"/>
            </w:tabs>
            <w:rPr>
              <w:rFonts w:asciiTheme="minorHAnsi" w:eastAsiaTheme="minorEastAsia" w:hAnsiTheme="minorHAnsi" w:cstheme="minorBidi"/>
              <w:noProof/>
              <w:kern w:val="2"/>
              <w:sz w:val="22"/>
              <w:szCs w:val="22"/>
              <w14:ligatures w14:val="standardContextual"/>
            </w:rPr>
          </w:pPr>
          <w:hyperlink w:anchor="_Toc149660939" w:history="1">
            <w:r w:rsidR="006A15DA" w:rsidRPr="00297C9B">
              <w:rPr>
                <w:rStyle w:val="Collegamentoipertestuale"/>
                <w:rFonts w:eastAsia="Times"/>
                <w:noProof/>
              </w:rPr>
              <w:t>3.1.2</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Dati tecnici e di qualità</w:t>
            </w:r>
            <w:r w:rsidR="006A15DA">
              <w:rPr>
                <w:noProof/>
                <w:webHidden/>
              </w:rPr>
              <w:tab/>
            </w:r>
            <w:r w:rsidR="006A15DA">
              <w:rPr>
                <w:noProof/>
                <w:webHidden/>
              </w:rPr>
              <w:fldChar w:fldCharType="begin"/>
            </w:r>
            <w:r w:rsidR="006A15DA">
              <w:rPr>
                <w:noProof/>
                <w:webHidden/>
              </w:rPr>
              <w:instrText xml:space="preserve"> PAGEREF _Toc149660939 \h </w:instrText>
            </w:r>
            <w:r w:rsidR="006A15DA">
              <w:rPr>
                <w:noProof/>
                <w:webHidden/>
              </w:rPr>
            </w:r>
            <w:r w:rsidR="006A15DA">
              <w:rPr>
                <w:noProof/>
                <w:webHidden/>
              </w:rPr>
              <w:fldChar w:fldCharType="separate"/>
            </w:r>
            <w:r w:rsidR="006A15DA">
              <w:rPr>
                <w:noProof/>
                <w:webHidden/>
              </w:rPr>
              <w:t>6</w:t>
            </w:r>
            <w:r w:rsidR="006A15DA">
              <w:rPr>
                <w:noProof/>
                <w:webHidden/>
              </w:rPr>
              <w:fldChar w:fldCharType="end"/>
            </w:r>
          </w:hyperlink>
        </w:p>
        <w:p w14:paraId="7522251F" w14:textId="07CBD98E" w:rsidR="006A15DA" w:rsidRDefault="00C22B24">
          <w:pPr>
            <w:pStyle w:val="Sommario3"/>
            <w:tabs>
              <w:tab w:val="left" w:pos="1871"/>
            </w:tabs>
            <w:rPr>
              <w:rFonts w:asciiTheme="minorHAnsi" w:eastAsiaTheme="minorEastAsia" w:hAnsiTheme="minorHAnsi" w:cstheme="minorBidi"/>
              <w:noProof/>
              <w:kern w:val="2"/>
              <w:sz w:val="22"/>
              <w:szCs w:val="22"/>
              <w14:ligatures w14:val="standardContextual"/>
            </w:rPr>
          </w:pPr>
          <w:hyperlink w:anchor="_Toc149660940" w:history="1">
            <w:r w:rsidR="006A15DA" w:rsidRPr="00297C9B">
              <w:rPr>
                <w:rStyle w:val="Collegamentoipertestuale"/>
                <w:rFonts w:eastAsia="Times"/>
                <w:noProof/>
              </w:rPr>
              <w:t>3.1.3</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Fonti di finanziamento</w:t>
            </w:r>
            <w:r w:rsidR="006A15DA">
              <w:rPr>
                <w:noProof/>
                <w:webHidden/>
              </w:rPr>
              <w:tab/>
            </w:r>
            <w:r w:rsidR="006A15DA">
              <w:rPr>
                <w:noProof/>
                <w:webHidden/>
              </w:rPr>
              <w:fldChar w:fldCharType="begin"/>
            </w:r>
            <w:r w:rsidR="006A15DA">
              <w:rPr>
                <w:noProof/>
                <w:webHidden/>
              </w:rPr>
              <w:instrText xml:space="preserve"> PAGEREF _Toc149660940 \h </w:instrText>
            </w:r>
            <w:r w:rsidR="006A15DA">
              <w:rPr>
                <w:noProof/>
                <w:webHidden/>
              </w:rPr>
            </w:r>
            <w:r w:rsidR="006A15DA">
              <w:rPr>
                <w:noProof/>
                <w:webHidden/>
              </w:rPr>
              <w:fldChar w:fldCharType="separate"/>
            </w:r>
            <w:r w:rsidR="006A15DA">
              <w:rPr>
                <w:noProof/>
                <w:webHidden/>
              </w:rPr>
              <w:t>7</w:t>
            </w:r>
            <w:r w:rsidR="006A15DA">
              <w:rPr>
                <w:noProof/>
                <w:webHidden/>
              </w:rPr>
              <w:fldChar w:fldCharType="end"/>
            </w:r>
          </w:hyperlink>
        </w:p>
        <w:p w14:paraId="39F71F88" w14:textId="343D364A"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41" w:history="1">
            <w:r w:rsidR="006A15DA" w:rsidRPr="00297C9B">
              <w:rPr>
                <w:rStyle w:val="Collegamentoipertestuale"/>
                <w:rFonts w:eastAsia="Times"/>
                <w:noProof/>
              </w:rPr>
              <w:t>3.2</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Dati per la determinazione delle entrate di riferimento</w:t>
            </w:r>
            <w:r w:rsidR="006A15DA">
              <w:rPr>
                <w:noProof/>
                <w:webHidden/>
              </w:rPr>
              <w:tab/>
            </w:r>
            <w:r w:rsidR="006A15DA">
              <w:rPr>
                <w:noProof/>
                <w:webHidden/>
              </w:rPr>
              <w:fldChar w:fldCharType="begin"/>
            </w:r>
            <w:r w:rsidR="006A15DA">
              <w:rPr>
                <w:noProof/>
                <w:webHidden/>
              </w:rPr>
              <w:instrText xml:space="preserve"> PAGEREF _Toc149660941 \h </w:instrText>
            </w:r>
            <w:r w:rsidR="006A15DA">
              <w:rPr>
                <w:noProof/>
                <w:webHidden/>
              </w:rPr>
            </w:r>
            <w:r w:rsidR="006A15DA">
              <w:rPr>
                <w:noProof/>
                <w:webHidden/>
              </w:rPr>
              <w:fldChar w:fldCharType="separate"/>
            </w:r>
            <w:r w:rsidR="006A15DA">
              <w:rPr>
                <w:noProof/>
                <w:webHidden/>
              </w:rPr>
              <w:t>7</w:t>
            </w:r>
            <w:r w:rsidR="006A15DA">
              <w:rPr>
                <w:noProof/>
                <w:webHidden/>
              </w:rPr>
              <w:fldChar w:fldCharType="end"/>
            </w:r>
          </w:hyperlink>
        </w:p>
        <w:p w14:paraId="58817541" w14:textId="7C16403C" w:rsidR="006A15DA" w:rsidRDefault="00C22B24">
          <w:pPr>
            <w:pStyle w:val="Sommario3"/>
            <w:tabs>
              <w:tab w:val="left" w:pos="1871"/>
            </w:tabs>
            <w:rPr>
              <w:rFonts w:asciiTheme="minorHAnsi" w:eastAsiaTheme="minorEastAsia" w:hAnsiTheme="minorHAnsi" w:cstheme="minorBidi"/>
              <w:noProof/>
              <w:kern w:val="2"/>
              <w:sz w:val="22"/>
              <w:szCs w:val="22"/>
              <w14:ligatures w14:val="standardContextual"/>
            </w:rPr>
          </w:pPr>
          <w:hyperlink w:anchor="_Toc149660942" w:history="1">
            <w:r w:rsidR="006A15DA" w:rsidRPr="00297C9B">
              <w:rPr>
                <w:rStyle w:val="Collegamentoipertestuale"/>
                <w:rFonts w:eastAsia="Times"/>
                <w:noProof/>
              </w:rPr>
              <w:t>3.2.1</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Dati di conto economico</w:t>
            </w:r>
            <w:r w:rsidR="006A15DA">
              <w:rPr>
                <w:noProof/>
                <w:webHidden/>
              </w:rPr>
              <w:tab/>
            </w:r>
            <w:r w:rsidR="006A15DA">
              <w:rPr>
                <w:noProof/>
                <w:webHidden/>
              </w:rPr>
              <w:fldChar w:fldCharType="begin"/>
            </w:r>
            <w:r w:rsidR="006A15DA">
              <w:rPr>
                <w:noProof/>
                <w:webHidden/>
              </w:rPr>
              <w:instrText xml:space="preserve"> PAGEREF _Toc149660942 \h </w:instrText>
            </w:r>
            <w:r w:rsidR="006A15DA">
              <w:rPr>
                <w:noProof/>
                <w:webHidden/>
              </w:rPr>
            </w:r>
            <w:r w:rsidR="006A15DA">
              <w:rPr>
                <w:noProof/>
                <w:webHidden/>
              </w:rPr>
              <w:fldChar w:fldCharType="separate"/>
            </w:r>
            <w:r w:rsidR="006A15DA">
              <w:rPr>
                <w:noProof/>
                <w:webHidden/>
              </w:rPr>
              <w:t>7</w:t>
            </w:r>
            <w:r w:rsidR="006A15DA">
              <w:rPr>
                <w:noProof/>
                <w:webHidden/>
              </w:rPr>
              <w:fldChar w:fldCharType="end"/>
            </w:r>
          </w:hyperlink>
        </w:p>
        <w:p w14:paraId="797C1813" w14:textId="553B307E" w:rsidR="006A15DA" w:rsidRDefault="00C22B24">
          <w:pPr>
            <w:pStyle w:val="Sommario3"/>
            <w:tabs>
              <w:tab w:val="left" w:pos="1871"/>
            </w:tabs>
            <w:rPr>
              <w:rFonts w:asciiTheme="minorHAnsi" w:eastAsiaTheme="minorEastAsia" w:hAnsiTheme="minorHAnsi" w:cstheme="minorBidi"/>
              <w:noProof/>
              <w:kern w:val="2"/>
              <w:sz w:val="22"/>
              <w:szCs w:val="22"/>
              <w14:ligatures w14:val="standardContextual"/>
            </w:rPr>
          </w:pPr>
          <w:hyperlink w:anchor="_Toc149660943" w:history="1">
            <w:r w:rsidR="006A15DA" w:rsidRPr="00297C9B">
              <w:rPr>
                <w:rStyle w:val="Collegamentoipertestuale"/>
                <w:rFonts w:eastAsia="Times"/>
                <w:noProof/>
              </w:rPr>
              <w:t>3.2.2</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Focus sugli altri ricavi</w:t>
            </w:r>
            <w:r w:rsidR="006A15DA">
              <w:rPr>
                <w:noProof/>
                <w:webHidden/>
              </w:rPr>
              <w:tab/>
            </w:r>
            <w:r w:rsidR="006A15DA">
              <w:rPr>
                <w:noProof/>
                <w:webHidden/>
              </w:rPr>
              <w:fldChar w:fldCharType="begin"/>
            </w:r>
            <w:r w:rsidR="006A15DA">
              <w:rPr>
                <w:noProof/>
                <w:webHidden/>
              </w:rPr>
              <w:instrText xml:space="preserve"> PAGEREF _Toc149660943 \h </w:instrText>
            </w:r>
            <w:r w:rsidR="006A15DA">
              <w:rPr>
                <w:noProof/>
                <w:webHidden/>
              </w:rPr>
            </w:r>
            <w:r w:rsidR="006A15DA">
              <w:rPr>
                <w:noProof/>
                <w:webHidden/>
              </w:rPr>
              <w:fldChar w:fldCharType="separate"/>
            </w:r>
            <w:r w:rsidR="006A15DA">
              <w:rPr>
                <w:noProof/>
                <w:webHidden/>
              </w:rPr>
              <w:t>8</w:t>
            </w:r>
            <w:r w:rsidR="006A15DA">
              <w:rPr>
                <w:noProof/>
                <w:webHidden/>
              </w:rPr>
              <w:fldChar w:fldCharType="end"/>
            </w:r>
          </w:hyperlink>
        </w:p>
        <w:p w14:paraId="28B48C76" w14:textId="6FE4DA74" w:rsidR="006A15DA" w:rsidRDefault="00C22B24">
          <w:pPr>
            <w:pStyle w:val="Sommario3"/>
            <w:tabs>
              <w:tab w:val="left" w:pos="1871"/>
            </w:tabs>
            <w:rPr>
              <w:rFonts w:asciiTheme="minorHAnsi" w:eastAsiaTheme="minorEastAsia" w:hAnsiTheme="minorHAnsi" w:cstheme="minorBidi"/>
              <w:noProof/>
              <w:kern w:val="2"/>
              <w:sz w:val="22"/>
              <w:szCs w:val="22"/>
              <w14:ligatures w14:val="standardContextual"/>
            </w:rPr>
          </w:pPr>
          <w:hyperlink w:anchor="_Toc149660944" w:history="1">
            <w:r w:rsidR="006A15DA" w:rsidRPr="00297C9B">
              <w:rPr>
                <w:rStyle w:val="Collegamentoipertestuale"/>
                <w:rFonts w:eastAsia="Times"/>
                <w:noProof/>
              </w:rPr>
              <w:t>3.2.3</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Componenti di costo previsionali</w:t>
            </w:r>
            <w:r w:rsidR="006A15DA">
              <w:rPr>
                <w:noProof/>
                <w:webHidden/>
              </w:rPr>
              <w:tab/>
            </w:r>
            <w:r w:rsidR="006A15DA">
              <w:rPr>
                <w:noProof/>
                <w:webHidden/>
              </w:rPr>
              <w:fldChar w:fldCharType="begin"/>
            </w:r>
            <w:r w:rsidR="006A15DA">
              <w:rPr>
                <w:noProof/>
                <w:webHidden/>
              </w:rPr>
              <w:instrText xml:space="preserve"> PAGEREF _Toc149660944 \h </w:instrText>
            </w:r>
            <w:r w:rsidR="006A15DA">
              <w:rPr>
                <w:noProof/>
                <w:webHidden/>
              </w:rPr>
            </w:r>
            <w:r w:rsidR="006A15DA">
              <w:rPr>
                <w:noProof/>
                <w:webHidden/>
              </w:rPr>
              <w:fldChar w:fldCharType="separate"/>
            </w:r>
            <w:r w:rsidR="006A15DA">
              <w:rPr>
                <w:noProof/>
                <w:webHidden/>
              </w:rPr>
              <w:t>8</w:t>
            </w:r>
            <w:r w:rsidR="006A15DA">
              <w:rPr>
                <w:noProof/>
                <w:webHidden/>
              </w:rPr>
              <w:fldChar w:fldCharType="end"/>
            </w:r>
          </w:hyperlink>
        </w:p>
        <w:p w14:paraId="317D5293" w14:textId="2C056043" w:rsidR="006A15DA" w:rsidRDefault="00C22B24">
          <w:pPr>
            <w:pStyle w:val="Sommario3"/>
            <w:tabs>
              <w:tab w:val="left" w:pos="1871"/>
            </w:tabs>
            <w:rPr>
              <w:rFonts w:asciiTheme="minorHAnsi" w:eastAsiaTheme="minorEastAsia" w:hAnsiTheme="minorHAnsi" w:cstheme="minorBidi"/>
              <w:noProof/>
              <w:kern w:val="2"/>
              <w:sz w:val="22"/>
              <w:szCs w:val="22"/>
              <w14:ligatures w14:val="standardContextual"/>
            </w:rPr>
          </w:pPr>
          <w:hyperlink w:anchor="_Toc149660945" w:history="1">
            <w:r w:rsidR="006A15DA" w:rsidRPr="00297C9B">
              <w:rPr>
                <w:rStyle w:val="Collegamentoipertestuale"/>
                <w:rFonts w:eastAsia="Times"/>
                <w:noProof/>
              </w:rPr>
              <w:t>3.2.4</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Investimenti</w:t>
            </w:r>
            <w:r w:rsidR="006A15DA">
              <w:rPr>
                <w:noProof/>
                <w:webHidden/>
              </w:rPr>
              <w:tab/>
            </w:r>
            <w:r w:rsidR="006A15DA">
              <w:rPr>
                <w:noProof/>
                <w:webHidden/>
              </w:rPr>
              <w:fldChar w:fldCharType="begin"/>
            </w:r>
            <w:r w:rsidR="006A15DA">
              <w:rPr>
                <w:noProof/>
                <w:webHidden/>
              </w:rPr>
              <w:instrText xml:space="preserve"> PAGEREF _Toc149660945 \h </w:instrText>
            </w:r>
            <w:r w:rsidR="006A15DA">
              <w:rPr>
                <w:noProof/>
                <w:webHidden/>
              </w:rPr>
            </w:r>
            <w:r w:rsidR="006A15DA">
              <w:rPr>
                <w:noProof/>
                <w:webHidden/>
              </w:rPr>
              <w:fldChar w:fldCharType="separate"/>
            </w:r>
            <w:r w:rsidR="006A15DA">
              <w:rPr>
                <w:noProof/>
                <w:webHidden/>
              </w:rPr>
              <w:t>9</w:t>
            </w:r>
            <w:r w:rsidR="006A15DA">
              <w:rPr>
                <w:noProof/>
                <w:webHidden/>
              </w:rPr>
              <w:fldChar w:fldCharType="end"/>
            </w:r>
          </w:hyperlink>
        </w:p>
        <w:p w14:paraId="2FD5A4B9" w14:textId="64A25A24" w:rsidR="006A15DA" w:rsidRDefault="00C22B24">
          <w:pPr>
            <w:pStyle w:val="Sommario3"/>
            <w:tabs>
              <w:tab w:val="left" w:pos="1871"/>
            </w:tabs>
            <w:rPr>
              <w:rFonts w:asciiTheme="minorHAnsi" w:eastAsiaTheme="minorEastAsia" w:hAnsiTheme="minorHAnsi" w:cstheme="minorBidi"/>
              <w:noProof/>
              <w:kern w:val="2"/>
              <w:sz w:val="22"/>
              <w:szCs w:val="22"/>
              <w14:ligatures w14:val="standardContextual"/>
            </w:rPr>
          </w:pPr>
          <w:hyperlink w:anchor="_Toc149660946" w:history="1">
            <w:r w:rsidR="006A15DA" w:rsidRPr="00297C9B">
              <w:rPr>
                <w:rStyle w:val="Collegamentoipertestuale"/>
                <w:rFonts w:eastAsia="Times"/>
                <w:noProof/>
              </w:rPr>
              <w:t>3.2.5</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Dati relativi ai costi di capitale</w:t>
            </w:r>
            <w:r w:rsidR="006A15DA">
              <w:rPr>
                <w:noProof/>
                <w:webHidden/>
              </w:rPr>
              <w:tab/>
            </w:r>
            <w:r w:rsidR="006A15DA">
              <w:rPr>
                <w:noProof/>
                <w:webHidden/>
              </w:rPr>
              <w:fldChar w:fldCharType="begin"/>
            </w:r>
            <w:r w:rsidR="006A15DA">
              <w:rPr>
                <w:noProof/>
                <w:webHidden/>
              </w:rPr>
              <w:instrText xml:space="preserve"> PAGEREF _Toc149660946 \h </w:instrText>
            </w:r>
            <w:r w:rsidR="006A15DA">
              <w:rPr>
                <w:noProof/>
                <w:webHidden/>
              </w:rPr>
            </w:r>
            <w:r w:rsidR="006A15DA">
              <w:rPr>
                <w:noProof/>
                <w:webHidden/>
              </w:rPr>
              <w:fldChar w:fldCharType="separate"/>
            </w:r>
            <w:r w:rsidR="006A15DA">
              <w:rPr>
                <w:noProof/>
                <w:webHidden/>
              </w:rPr>
              <w:t>9</w:t>
            </w:r>
            <w:r w:rsidR="006A15DA">
              <w:rPr>
                <w:noProof/>
                <w:webHidden/>
              </w:rPr>
              <w:fldChar w:fldCharType="end"/>
            </w:r>
          </w:hyperlink>
        </w:p>
        <w:p w14:paraId="321D2673" w14:textId="26711D07" w:rsidR="006A15DA" w:rsidRDefault="00C22B24">
          <w:pPr>
            <w:pStyle w:val="Sommario1"/>
            <w:rPr>
              <w:rFonts w:asciiTheme="minorHAnsi" w:eastAsiaTheme="minorEastAsia" w:hAnsiTheme="minorHAnsi" w:cstheme="minorBidi"/>
              <w:b w:val="0"/>
              <w:kern w:val="2"/>
              <w:sz w:val="22"/>
              <w:szCs w:val="22"/>
              <w14:ligatures w14:val="standardContextual"/>
            </w:rPr>
          </w:pPr>
          <w:hyperlink w:anchor="_Toc149660947" w:history="1">
            <w:r w:rsidR="006A15DA" w:rsidRPr="00297C9B">
              <w:rPr>
                <w:rStyle w:val="Collegamentoipertestuale"/>
              </w:rPr>
              <w:t>4</w:t>
            </w:r>
            <w:r w:rsidR="006A15DA">
              <w:rPr>
                <w:rFonts w:asciiTheme="minorHAnsi" w:eastAsiaTheme="minorEastAsia" w:hAnsiTheme="minorHAnsi" w:cstheme="minorBidi"/>
                <w:b w:val="0"/>
                <w:kern w:val="2"/>
                <w:sz w:val="22"/>
                <w:szCs w:val="22"/>
                <w14:ligatures w14:val="standardContextual"/>
              </w:rPr>
              <w:tab/>
            </w:r>
            <w:r w:rsidR="006A15DA" w:rsidRPr="00297C9B">
              <w:rPr>
                <w:rStyle w:val="Collegamentoipertestuale"/>
              </w:rPr>
              <w:t>Attività di validazione (ETC)</w:t>
            </w:r>
            <w:r w:rsidR="006A15DA">
              <w:rPr>
                <w:webHidden/>
              </w:rPr>
              <w:tab/>
            </w:r>
            <w:r w:rsidR="006A15DA">
              <w:rPr>
                <w:webHidden/>
              </w:rPr>
              <w:fldChar w:fldCharType="begin"/>
            </w:r>
            <w:r w:rsidR="006A15DA">
              <w:rPr>
                <w:webHidden/>
              </w:rPr>
              <w:instrText xml:space="preserve"> PAGEREF _Toc149660947 \h </w:instrText>
            </w:r>
            <w:r w:rsidR="006A15DA">
              <w:rPr>
                <w:webHidden/>
              </w:rPr>
            </w:r>
            <w:r w:rsidR="006A15DA">
              <w:rPr>
                <w:webHidden/>
              </w:rPr>
              <w:fldChar w:fldCharType="separate"/>
            </w:r>
            <w:r w:rsidR="006A15DA">
              <w:rPr>
                <w:webHidden/>
              </w:rPr>
              <w:t>10</w:t>
            </w:r>
            <w:r w:rsidR="006A15DA">
              <w:rPr>
                <w:webHidden/>
              </w:rPr>
              <w:fldChar w:fldCharType="end"/>
            </w:r>
          </w:hyperlink>
        </w:p>
        <w:p w14:paraId="2358CA11" w14:textId="10F7A8E3" w:rsidR="006A15DA" w:rsidRDefault="00C22B24">
          <w:pPr>
            <w:pStyle w:val="Sommario1"/>
            <w:rPr>
              <w:rFonts w:asciiTheme="minorHAnsi" w:eastAsiaTheme="minorEastAsia" w:hAnsiTheme="minorHAnsi" w:cstheme="minorBidi"/>
              <w:b w:val="0"/>
              <w:kern w:val="2"/>
              <w:sz w:val="22"/>
              <w:szCs w:val="22"/>
              <w14:ligatures w14:val="standardContextual"/>
            </w:rPr>
          </w:pPr>
          <w:hyperlink w:anchor="_Toc149660948" w:history="1">
            <w:r w:rsidR="006A15DA" w:rsidRPr="00297C9B">
              <w:rPr>
                <w:rStyle w:val="Collegamentoipertestuale"/>
              </w:rPr>
              <w:t>5</w:t>
            </w:r>
            <w:r w:rsidR="006A15DA">
              <w:rPr>
                <w:rFonts w:asciiTheme="minorHAnsi" w:eastAsiaTheme="minorEastAsia" w:hAnsiTheme="minorHAnsi" w:cstheme="minorBidi"/>
                <w:b w:val="0"/>
                <w:kern w:val="2"/>
                <w:sz w:val="22"/>
                <w:szCs w:val="22"/>
                <w14:ligatures w14:val="standardContextual"/>
              </w:rPr>
              <w:tab/>
            </w:r>
            <w:r w:rsidR="006A15DA" w:rsidRPr="00297C9B">
              <w:rPr>
                <w:rStyle w:val="Collegamentoipertestuale"/>
              </w:rPr>
              <w:t>Valutazioni di competenza dell’Ente territorialmente competente (ETC)</w:t>
            </w:r>
            <w:r w:rsidR="006A15DA">
              <w:rPr>
                <w:webHidden/>
              </w:rPr>
              <w:tab/>
            </w:r>
            <w:r w:rsidR="006A15DA">
              <w:rPr>
                <w:webHidden/>
              </w:rPr>
              <w:fldChar w:fldCharType="begin"/>
            </w:r>
            <w:r w:rsidR="006A15DA">
              <w:rPr>
                <w:webHidden/>
              </w:rPr>
              <w:instrText xml:space="preserve"> PAGEREF _Toc149660948 \h </w:instrText>
            </w:r>
            <w:r w:rsidR="006A15DA">
              <w:rPr>
                <w:webHidden/>
              </w:rPr>
            </w:r>
            <w:r w:rsidR="006A15DA">
              <w:rPr>
                <w:webHidden/>
              </w:rPr>
              <w:fldChar w:fldCharType="separate"/>
            </w:r>
            <w:r w:rsidR="006A15DA">
              <w:rPr>
                <w:webHidden/>
              </w:rPr>
              <w:t>10</w:t>
            </w:r>
            <w:r w:rsidR="006A15DA">
              <w:rPr>
                <w:webHidden/>
              </w:rPr>
              <w:fldChar w:fldCharType="end"/>
            </w:r>
          </w:hyperlink>
        </w:p>
        <w:p w14:paraId="204CC22C" w14:textId="57A6B76F"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49" w:history="1">
            <w:r w:rsidR="006A15DA" w:rsidRPr="00297C9B">
              <w:rPr>
                <w:rStyle w:val="Collegamentoipertestuale"/>
                <w:rFonts w:eastAsia="Times"/>
                <w:noProof/>
              </w:rPr>
              <w:t>5.1</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Limite alla crescita annuale delle entrate tariffarie</w:t>
            </w:r>
            <w:r w:rsidR="006A15DA">
              <w:rPr>
                <w:noProof/>
                <w:webHidden/>
              </w:rPr>
              <w:tab/>
            </w:r>
            <w:r w:rsidR="006A15DA">
              <w:rPr>
                <w:noProof/>
                <w:webHidden/>
              </w:rPr>
              <w:fldChar w:fldCharType="begin"/>
            </w:r>
            <w:r w:rsidR="006A15DA">
              <w:rPr>
                <w:noProof/>
                <w:webHidden/>
              </w:rPr>
              <w:instrText xml:space="preserve"> PAGEREF _Toc149660949 \h </w:instrText>
            </w:r>
            <w:r w:rsidR="006A15DA">
              <w:rPr>
                <w:noProof/>
                <w:webHidden/>
              </w:rPr>
            </w:r>
            <w:r w:rsidR="006A15DA">
              <w:rPr>
                <w:noProof/>
                <w:webHidden/>
              </w:rPr>
              <w:fldChar w:fldCharType="separate"/>
            </w:r>
            <w:r w:rsidR="006A15DA">
              <w:rPr>
                <w:noProof/>
                <w:webHidden/>
              </w:rPr>
              <w:t>10</w:t>
            </w:r>
            <w:r w:rsidR="006A15DA">
              <w:rPr>
                <w:noProof/>
                <w:webHidden/>
              </w:rPr>
              <w:fldChar w:fldCharType="end"/>
            </w:r>
          </w:hyperlink>
        </w:p>
        <w:p w14:paraId="3BC1DD37" w14:textId="3572C088" w:rsidR="006A15DA" w:rsidRDefault="00C22B24">
          <w:pPr>
            <w:pStyle w:val="Sommario3"/>
            <w:tabs>
              <w:tab w:val="left" w:pos="1871"/>
            </w:tabs>
            <w:rPr>
              <w:rFonts w:asciiTheme="minorHAnsi" w:eastAsiaTheme="minorEastAsia" w:hAnsiTheme="minorHAnsi" w:cstheme="minorBidi"/>
              <w:noProof/>
              <w:kern w:val="2"/>
              <w:sz w:val="22"/>
              <w:szCs w:val="22"/>
              <w14:ligatures w14:val="standardContextual"/>
            </w:rPr>
          </w:pPr>
          <w:hyperlink w:anchor="_Toc149660950" w:history="1">
            <w:r w:rsidR="006A15DA" w:rsidRPr="00297C9B">
              <w:rPr>
                <w:rStyle w:val="Collegamentoipertestuale"/>
                <w:rFonts w:eastAsia="Times"/>
                <w:noProof/>
              </w:rPr>
              <w:t>5.1.1</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Coefficiente di recupero di produttività</w:t>
            </w:r>
            <w:r w:rsidR="006A15DA">
              <w:rPr>
                <w:noProof/>
                <w:webHidden/>
              </w:rPr>
              <w:tab/>
            </w:r>
            <w:r w:rsidR="006A15DA">
              <w:rPr>
                <w:noProof/>
                <w:webHidden/>
              </w:rPr>
              <w:fldChar w:fldCharType="begin"/>
            </w:r>
            <w:r w:rsidR="006A15DA">
              <w:rPr>
                <w:noProof/>
                <w:webHidden/>
              </w:rPr>
              <w:instrText xml:space="preserve"> PAGEREF _Toc149660950 \h </w:instrText>
            </w:r>
            <w:r w:rsidR="006A15DA">
              <w:rPr>
                <w:noProof/>
                <w:webHidden/>
              </w:rPr>
            </w:r>
            <w:r w:rsidR="006A15DA">
              <w:rPr>
                <w:noProof/>
                <w:webHidden/>
              </w:rPr>
              <w:fldChar w:fldCharType="separate"/>
            </w:r>
            <w:r w:rsidR="006A15DA">
              <w:rPr>
                <w:noProof/>
                <w:webHidden/>
              </w:rPr>
              <w:t>10</w:t>
            </w:r>
            <w:r w:rsidR="006A15DA">
              <w:rPr>
                <w:noProof/>
                <w:webHidden/>
              </w:rPr>
              <w:fldChar w:fldCharType="end"/>
            </w:r>
          </w:hyperlink>
        </w:p>
        <w:p w14:paraId="1750488C" w14:textId="03D04FA9" w:rsidR="006A15DA" w:rsidRDefault="00C22B24">
          <w:pPr>
            <w:pStyle w:val="Sommario3"/>
            <w:tabs>
              <w:tab w:val="left" w:pos="1871"/>
            </w:tabs>
            <w:rPr>
              <w:rFonts w:asciiTheme="minorHAnsi" w:eastAsiaTheme="minorEastAsia" w:hAnsiTheme="minorHAnsi" w:cstheme="minorBidi"/>
              <w:noProof/>
              <w:kern w:val="2"/>
              <w:sz w:val="22"/>
              <w:szCs w:val="22"/>
              <w14:ligatures w14:val="standardContextual"/>
            </w:rPr>
          </w:pPr>
          <w:hyperlink w:anchor="_Toc149660951" w:history="1">
            <w:r w:rsidR="006A15DA" w:rsidRPr="00297C9B">
              <w:rPr>
                <w:rStyle w:val="Collegamentoipertestuale"/>
                <w:rFonts w:eastAsia="Times"/>
                <w:noProof/>
              </w:rPr>
              <w:t>5.1.2</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Coefficienti QL (variazioni delle caratteristiche del servizio) e PG (variazioni di perimetro gestionale)</w:t>
            </w:r>
            <w:r w:rsidR="006A15DA">
              <w:rPr>
                <w:noProof/>
                <w:webHidden/>
              </w:rPr>
              <w:tab/>
            </w:r>
            <w:r w:rsidR="006A15DA">
              <w:rPr>
                <w:noProof/>
                <w:webHidden/>
              </w:rPr>
              <w:fldChar w:fldCharType="begin"/>
            </w:r>
            <w:r w:rsidR="006A15DA">
              <w:rPr>
                <w:noProof/>
                <w:webHidden/>
              </w:rPr>
              <w:instrText xml:space="preserve"> PAGEREF _Toc149660951 \h </w:instrText>
            </w:r>
            <w:r w:rsidR="006A15DA">
              <w:rPr>
                <w:noProof/>
                <w:webHidden/>
              </w:rPr>
            </w:r>
            <w:r w:rsidR="006A15DA">
              <w:rPr>
                <w:noProof/>
                <w:webHidden/>
              </w:rPr>
              <w:fldChar w:fldCharType="separate"/>
            </w:r>
            <w:r w:rsidR="006A15DA">
              <w:rPr>
                <w:noProof/>
                <w:webHidden/>
              </w:rPr>
              <w:t>11</w:t>
            </w:r>
            <w:r w:rsidR="006A15DA">
              <w:rPr>
                <w:noProof/>
                <w:webHidden/>
              </w:rPr>
              <w:fldChar w:fldCharType="end"/>
            </w:r>
          </w:hyperlink>
        </w:p>
        <w:p w14:paraId="7DFBD3DC" w14:textId="28FF237A" w:rsidR="006A15DA" w:rsidRDefault="00C22B24">
          <w:pPr>
            <w:pStyle w:val="Sommario3"/>
            <w:tabs>
              <w:tab w:val="left" w:pos="1871"/>
            </w:tabs>
            <w:rPr>
              <w:rFonts w:asciiTheme="minorHAnsi" w:eastAsiaTheme="minorEastAsia" w:hAnsiTheme="minorHAnsi" w:cstheme="minorBidi"/>
              <w:noProof/>
              <w:kern w:val="2"/>
              <w:sz w:val="22"/>
              <w:szCs w:val="22"/>
              <w14:ligatures w14:val="standardContextual"/>
            </w:rPr>
          </w:pPr>
          <w:hyperlink w:anchor="_Toc149660952" w:history="1">
            <w:r w:rsidR="006A15DA" w:rsidRPr="00297C9B">
              <w:rPr>
                <w:rStyle w:val="Collegamentoipertestuale"/>
                <w:rFonts w:eastAsia="Times"/>
                <w:noProof/>
              </w:rPr>
              <w:t>5.1.3</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Coefficiente C116</w:t>
            </w:r>
            <w:r w:rsidR="006A15DA">
              <w:rPr>
                <w:noProof/>
                <w:webHidden/>
              </w:rPr>
              <w:tab/>
            </w:r>
            <w:r w:rsidR="006A15DA">
              <w:rPr>
                <w:noProof/>
                <w:webHidden/>
              </w:rPr>
              <w:fldChar w:fldCharType="begin"/>
            </w:r>
            <w:r w:rsidR="006A15DA">
              <w:rPr>
                <w:noProof/>
                <w:webHidden/>
              </w:rPr>
              <w:instrText xml:space="preserve"> PAGEREF _Toc149660952 \h </w:instrText>
            </w:r>
            <w:r w:rsidR="006A15DA">
              <w:rPr>
                <w:noProof/>
                <w:webHidden/>
              </w:rPr>
            </w:r>
            <w:r w:rsidR="006A15DA">
              <w:rPr>
                <w:noProof/>
                <w:webHidden/>
              </w:rPr>
              <w:fldChar w:fldCharType="separate"/>
            </w:r>
            <w:r w:rsidR="006A15DA">
              <w:rPr>
                <w:noProof/>
                <w:webHidden/>
              </w:rPr>
              <w:t>11</w:t>
            </w:r>
            <w:r w:rsidR="006A15DA">
              <w:rPr>
                <w:noProof/>
                <w:webHidden/>
              </w:rPr>
              <w:fldChar w:fldCharType="end"/>
            </w:r>
          </w:hyperlink>
        </w:p>
        <w:p w14:paraId="40FB972F" w14:textId="46F50F98" w:rsidR="006A15DA" w:rsidRDefault="00C22B24">
          <w:pPr>
            <w:pStyle w:val="Sommario3"/>
            <w:tabs>
              <w:tab w:val="left" w:pos="1871"/>
            </w:tabs>
            <w:rPr>
              <w:rFonts w:asciiTheme="minorHAnsi" w:eastAsiaTheme="minorEastAsia" w:hAnsiTheme="minorHAnsi" w:cstheme="minorBidi"/>
              <w:noProof/>
              <w:kern w:val="2"/>
              <w:sz w:val="22"/>
              <w:szCs w:val="22"/>
              <w14:ligatures w14:val="standardContextual"/>
            </w:rPr>
          </w:pPr>
          <w:hyperlink w:anchor="_Toc149660953" w:history="1">
            <w:r w:rsidR="006A15DA" w:rsidRPr="00297C9B">
              <w:rPr>
                <w:rStyle w:val="Collegamentoipertestuale"/>
                <w:rFonts w:eastAsia="Times"/>
                <w:noProof/>
              </w:rPr>
              <w:t>5.1.4</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Coefficiente CRI</w:t>
            </w:r>
            <w:r w:rsidR="006A15DA">
              <w:rPr>
                <w:noProof/>
                <w:webHidden/>
              </w:rPr>
              <w:tab/>
            </w:r>
            <w:r w:rsidR="006A15DA">
              <w:rPr>
                <w:noProof/>
                <w:webHidden/>
              </w:rPr>
              <w:fldChar w:fldCharType="begin"/>
            </w:r>
            <w:r w:rsidR="006A15DA">
              <w:rPr>
                <w:noProof/>
                <w:webHidden/>
              </w:rPr>
              <w:instrText xml:space="preserve"> PAGEREF _Toc149660953 \h </w:instrText>
            </w:r>
            <w:r w:rsidR="006A15DA">
              <w:rPr>
                <w:noProof/>
                <w:webHidden/>
              </w:rPr>
            </w:r>
            <w:r w:rsidR="006A15DA">
              <w:rPr>
                <w:noProof/>
                <w:webHidden/>
              </w:rPr>
              <w:fldChar w:fldCharType="separate"/>
            </w:r>
            <w:r w:rsidR="006A15DA">
              <w:rPr>
                <w:noProof/>
                <w:webHidden/>
              </w:rPr>
              <w:t>11</w:t>
            </w:r>
            <w:r w:rsidR="006A15DA">
              <w:rPr>
                <w:noProof/>
                <w:webHidden/>
              </w:rPr>
              <w:fldChar w:fldCharType="end"/>
            </w:r>
          </w:hyperlink>
        </w:p>
        <w:p w14:paraId="0EE3AE15" w14:textId="6454B942"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54" w:history="1">
            <w:r w:rsidR="006A15DA" w:rsidRPr="00297C9B">
              <w:rPr>
                <w:rStyle w:val="Collegamentoipertestuale"/>
                <w:rFonts w:eastAsia="Times"/>
                <w:noProof/>
              </w:rPr>
              <w:t>5.2</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Costi operativi di gestione associati a specifiche finalità</w:t>
            </w:r>
            <w:r w:rsidR="006A15DA">
              <w:rPr>
                <w:noProof/>
                <w:webHidden/>
              </w:rPr>
              <w:tab/>
            </w:r>
            <w:r w:rsidR="006A15DA">
              <w:rPr>
                <w:noProof/>
                <w:webHidden/>
              </w:rPr>
              <w:fldChar w:fldCharType="begin"/>
            </w:r>
            <w:r w:rsidR="006A15DA">
              <w:rPr>
                <w:noProof/>
                <w:webHidden/>
              </w:rPr>
              <w:instrText xml:space="preserve"> PAGEREF _Toc149660954 \h </w:instrText>
            </w:r>
            <w:r w:rsidR="006A15DA">
              <w:rPr>
                <w:noProof/>
                <w:webHidden/>
              </w:rPr>
            </w:r>
            <w:r w:rsidR="006A15DA">
              <w:rPr>
                <w:noProof/>
                <w:webHidden/>
              </w:rPr>
              <w:fldChar w:fldCharType="separate"/>
            </w:r>
            <w:r w:rsidR="006A15DA">
              <w:rPr>
                <w:noProof/>
                <w:webHidden/>
              </w:rPr>
              <w:t>11</w:t>
            </w:r>
            <w:r w:rsidR="006A15DA">
              <w:rPr>
                <w:noProof/>
                <w:webHidden/>
              </w:rPr>
              <w:fldChar w:fldCharType="end"/>
            </w:r>
          </w:hyperlink>
        </w:p>
        <w:p w14:paraId="4F9A2475" w14:textId="6EC0EAFA" w:rsidR="006A15DA" w:rsidRDefault="00C22B24">
          <w:pPr>
            <w:pStyle w:val="Sommario3"/>
            <w:tabs>
              <w:tab w:val="left" w:pos="1871"/>
            </w:tabs>
            <w:rPr>
              <w:rFonts w:asciiTheme="minorHAnsi" w:eastAsiaTheme="minorEastAsia" w:hAnsiTheme="minorHAnsi" w:cstheme="minorBidi"/>
              <w:noProof/>
              <w:kern w:val="2"/>
              <w:sz w:val="22"/>
              <w:szCs w:val="22"/>
              <w14:ligatures w14:val="standardContextual"/>
            </w:rPr>
          </w:pPr>
          <w:hyperlink w:anchor="_Toc149660955" w:history="1">
            <w:r w:rsidR="006A15DA" w:rsidRPr="00297C9B">
              <w:rPr>
                <w:rStyle w:val="Collegamentoipertestuale"/>
                <w:rFonts w:eastAsia="Times"/>
                <w:noProof/>
              </w:rPr>
              <w:t>5.2.1</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Componente previsionale CO</w:t>
            </w:r>
            <w:r w:rsidR="006A15DA" w:rsidRPr="00297C9B">
              <w:rPr>
                <w:rStyle w:val="Collegamentoipertestuale"/>
                <w:rFonts w:eastAsia="Times"/>
                <w:noProof/>
                <w:vertAlign w:val="subscript"/>
              </w:rPr>
              <w:t>116</w:t>
            </w:r>
            <w:r w:rsidR="006A15DA">
              <w:rPr>
                <w:noProof/>
                <w:webHidden/>
              </w:rPr>
              <w:tab/>
            </w:r>
            <w:r w:rsidR="006A15DA">
              <w:rPr>
                <w:noProof/>
                <w:webHidden/>
              </w:rPr>
              <w:fldChar w:fldCharType="begin"/>
            </w:r>
            <w:r w:rsidR="006A15DA">
              <w:rPr>
                <w:noProof/>
                <w:webHidden/>
              </w:rPr>
              <w:instrText xml:space="preserve"> PAGEREF _Toc149660955 \h </w:instrText>
            </w:r>
            <w:r w:rsidR="006A15DA">
              <w:rPr>
                <w:noProof/>
                <w:webHidden/>
              </w:rPr>
            </w:r>
            <w:r w:rsidR="006A15DA">
              <w:rPr>
                <w:noProof/>
                <w:webHidden/>
              </w:rPr>
              <w:fldChar w:fldCharType="separate"/>
            </w:r>
            <w:r w:rsidR="006A15DA">
              <w:rPr>
                <w:noProof/>
                <w:webHidden/>
              </w:rPr>
              <w:t>11</w:t>
            </w:r>
            <w:r w:rsidR="006A15DA">
              <w:rPr>
                <w:noProof/>
                <w:webHidden/>
              </w:rPr>
              <w:fldChar w:fldCharType="end"/>
            </w:r>
          </w:hyperlink>
        </w:p>
        <w:p w14:paraId="67758B9F" w14:textId="46256A9B" w:rsidR="006A15DA" w:rsidRDefault="00C22B24">
          <w:pPr>
            <w:pStyle w:val="Sommario3"/>
            <w:tabs>
              <w:tab w:val="left" w:pos="1871"/>
            </w:tabs>
            <w:rPr>
              <w:rFonts w:asciiTheme="minorHAnsi" w:eastAsiaTheme="minorEastAsia" w:hAnsiTheme="minorHAnsi" w:cstheme="minorBidi"/>
              <w:noProof/>
              <w:kern w:val="2"/>
              <w:sz w:val="22"/>
              <w:szCs w:val="22"/>
              <w14:ligatures w14:val="standardContextual"/>
            </w:rPr>
          </w:pPr>
          <w:hyperlink w:anchor="_Toc149660956" w:history="1">
            <w:r w:rsidR="006A15DA" w:rsidRPr="00297C9B">
              <w:rPr>
                <w:rStyle w:val="Collegamentoipertestuale"/>
                <w:rFonts w:eastAsia="Times"/>
                <w:noProof/>
              </w:rPr>
              <w:t>5.2.2</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Componente previsionale CQ</w:t>
            </w:r>
            <w:r w:rsidR="006A15DA">
              <w:rPr>
                <w:noProof/>
                <w:webHidden/>
              </w:rPr>
              <w:tab/>
            </w:r>
            <w:r w:rsidR="006A15DA">
              <w:rPr>
                <w:noProof/>
                <w:webHidden/>
              </w:rPr>
              <w:fldChar w:fldCharType="begin"/>
            </w:r>
            <w:r w:rsidR="006A15DA">
              <w:rPr>
                <w:noProof/>
                <w:webHidden/>
              </w:rPr>
              <w:instrText xml:space="preserve"> PAGEREF _Toc149660956 \h </w:instrText>
            </w:r>
            <w:r w:rsidR="006A15DA">
              <w:rPr>
                <w:noProof/>
                <w:webHidden/>
              </w:rPr>
            </w:r>
            <w:r w:rsidR="006A15DA">
              <w:rPr>
                <w:noProof/>
                <w:webHidden/>
              </w:rPr>
              <w:fldChar w:fldCharType="separate"/>
            </w:r>
            <w:r w:rsidR="006A15DA">
              <w:rPr>
                <w:noProof/>
                <w:webHidden/>
              </w:rPr>
              <w:t>12</w:t>
            </w:r>
            <w:r w:rsidR="006A15DA">
              <w:rPr>
                <w:noProof/>
                <w:webHidden/>
              </w:rPr>
              <w:fldChar w:fldCharType="end"/>
            </w:r>
          </w:hyperlink>
        </w:p>
        <w:p w14:paraId="237A3AEA" w14:textId="299EE525" w:rsidR="006A15DA" w:rsidRDefault="00C22B24">
          <w:pPr>
            <w:pStyle w:val="Sommario3"/>
            <w:tabs>
              <w:tab w:val="left" w:pos="1871"/>
            </w:tabs>
            <w:rPr>
              <w:rFonts w:asciiTheme="minorHAnsi" w:eastAsiaTheme="minorEastAsia" w:hAnsiTheme="minorHAnsi" w:cstheme="minorBidi"/>
              <w:noProof/>
              <w:kern w:val="2"/>
              <w:sz w:val="22"/>
              <w:szCs w:val="22"/>
              <w14:ligatures w14:val="standardContextual"/>
            </w:rPr>
          </w:pPr>
          <w:hyperlink w:anchor="_Toc149660957" w:history="1">
            <w:r w:rsidR="006A15DA" w:rsidRPr="00297C9B">
              <w:rPr>
                <w:rStyle w:val="Collegamentoipertestuale"/>
                <w:rFonts w:eastAsia="Times"/>
                <w:noProof/>
              </w:rPr>
              <w:t>5.2.3</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Componente previsionale COI</w:t>
            </w:r>
            <w:r w:rsidR="006A15DA">
              <w:rPr>
                <w:noProof/>
                <w:webHidden/>
              </w:rPr>
              <w:tab/>
            </w:r>
            <w:r w:rsidR="006A15DA">
              <w:rPr>
                <w:noProof/>
                <w:webHidden/>
              </w:rPr>
              <w:fldChar w:fldCharType="begin"/>
            </w:r>
            <w:r w:rsidR="006A15DA">
              <w:rPr>
                <w:noProof/>
                <w:webHidden/>
              </w:rPr>
              <w:instrText xml:space="preserve"> PAGEREF _Toc149660957 \h </w:instrText>
            </w:r>
            <w:r w:rsidR="006A15DA">
              <w:rPr>
                <w:noProof/>
                <w:webHidden/>
              </w:rPr>
            </w:r>
            <w:r w:rsidR="006A15DA">
              <w:rPr>
                <w:noProof/>
                <w:webHidden/>
              </w:rPr>
              <w:fldChar w:fldCharType="separate"/>
            </w:r>
            <w:r w:rsidR="006A15DA">
              <w:rPr>
                <w:noProof/>
                <w:webHidden/>
              </w:rPr>
              <w:t>12</w:t>
            </w:r>
            <w:r w:rsidR="006A15DA">
              <w:rPr>
                <w:noProof/>
                <w:webHidden/>
              </w:rPr>
              <w:fldChar w:fldCharType="end"/>
            </w:r>
          </w:hyperlink>
        </w:p>
        <w:p w14:paraId="2332E8EB" w14:textId="516F5E89"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58" w:history="1">
            <w:r w:rsidR="006A15DA" w:rsidRPr="00297C9B">
              <w:rPr>
                <w:rStyle w:val="Collegamentoipertestuale"/>
                <w:rFonts w:eastAsia="Times"/>
                <w:noProof/>
              </w:rPr>
              <w:t>5.3</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Ammortamenti delle immobilizzazioni</w:t>
            </w:r>
            <w:r w:rsidR="006A15DA">
              <w:rPr>
                <w:noProof/>
                <w:webHidden/>
              </w:rPr>
              <w:tab/>
            </w:r>
            <w:r w:rsidR="006A15DA">
              <w:rPr>
                <w:noProof/>
                <w:webHidden/>
              </w:rPr>
              <w:fldChar w:fldCharType="begin"/>
            </w:r>
            <w:r w:rsidR="006A15DA">
              <w:rPr>
                <w:noProof/>
                <w:webHidden/>
              </w:rPr>
              <w:instrText xml:space="preserve"> PAGEREF _Toc149660958 \h </w:instrText>
            </w:r>
            <w:r w:rsidR="006A15DA">
              <w:rPr>
                <w:noProof/>
                <w:webHidden/>
              </w:rPr>
            </w:r>
            <w:r w:rsidR="006A15DA">
              <w:rPr>
                <w:noProof/>
                <w:webHidden/>
              </w:rPr>
              <w:fldChar w:fldCharType="separate"/>
            </w:r>
            <w:r w:rsidR="006A15DA">
              <w:rPr>
                <w:noProof/>
                <w:webHidden/>
              </w:rPr>
              <w:t>12</w:t>
            </w:r>
            <w:r w:rsidR="006A15DA">
              <w:rPr>
                <w:noProof/>
                <w:webHidden/>
              </w:rPr>
              <w:fldChar w:fldCharType="end"/>
            </w:r>
          </w:hyperlink>
        </w:p>
        <w:p w14:paraId="731E44E7" w14:textId="0367AC2F"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59" w:history="1">
            <w:r w:rsidR="006A15DA" w:rsidRPr="00297C9B">
              <w:rPr>
                <w:rStyle w:val="Collegamentoipertestuale"/>
                <w:rFonts w:eastAsia="Times"/>
                <w:noProof/>
              </w:rPr>
              <w:t>5.4</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 xml:space="preserve">Valorizzazione dei fattori di </w:t>
            </w:r>
            <w:r w:rsidR="006A15DA" w:rsidRPr="00297C9B">
              <w:rPr>
                <w:rStyle w:val="Collegamentoipertestuale"/>
                <w:rFonts w:eastAsia="Times"/>
                <w:i/>
                <w:noProof/>
              </w:rPr>
              <w:t>sharing</w:t>
            </w:r>
            <w:r w:rsidR="006A15DA">
              <w:rPr>
                <w:noProof/>
                <w:webHidden/>
              </w:rPr>
              <w:tab/>
            </w:r>
            <w:r w:rsidR="006A15DA">
              <w:rPr>
                <w:noProof/>
                <w:webHidden/>
              </w:rPr>
              <w:fldChar w:fldCharType="begin"/>
            </w:r>
            <w:r w:rsidR="006A15DA">
              <w:rPr>
                <w:noProof/>
                <w:webHidden/>
              </w:rPr>
              <w:instrText xml:space="preserve"> PAGEREF _Toc149660959 \h </w:instrText>
            </w:r>
            <w:r w:rsidR="006A15DA">
              <w:rPr>
                <w:noProof/>
                <w:webHidden/>
              </w:rPr>
            </w:r>
            <w:r w:rsidR="006A15DA">
              <w:rPr>
                <w:noProof/>
                <w:webHidden/>
              </w:rPr>
              <w:fldChar w:fldCharType="separate"/>
            </w:r>
            <w:r w:rsidR="006A15DA">
              <w:rPr>
                <w:noProof/>
                <w:webHidden/>
              </w:rPr>
              <w:t>12</w:t>
            </w:r>
            <w:r w:rsidR="006A15DA">
              <w:rPr>
                <w:noProof/>
                <w:webHidden/>
              </w:rPr>
              <w:fldChar w:fldCharType="end"/>
            </w:r>
          </w:hyperlink>
        </w:p>
        <w:p w14:paraId="6B464156" w14:textId="4C5491CF" w:rsidR="006A15DA" w:rsidRDefault="00C22B24">
          <w:pPr>
            <w:pStyle w:val="Sommario3"/>
            <w:tabs>
              <w:tab w:val="left" w:pos="1871"/>
            </w:tabs>
            <w:rPr>
              <w:rFonts w:asciiTheme="minorHAnsi" w:eastAsiaTheme="minorEastAsia" w:hAnsiTheme="minorHAnsi" w:cstheme="minorBidi"/>
              <w:noProof/>
              <w:kern w:val="2"/>
              <w:sz w:val="22"/>
              <w:szCs w:val="22"/>
              <w14:ligatures w14:val="standardContextual"/>
            </w:rPr>
          </w:pPr>
          <w:hyperlink w:anchor="_Toc149660960" w:history="1">
            <w:r w:rsidR="006A15DA" w:rsidRPr="00297C9B">
              <w:rPr>
                <w:rStyle w:val="Collegamentoipertestuale"/>
                <w:rFonts w:eastAsia="Times"/>
                <w:noProof/>
              </w:rPr>
              <w:t>5.4.1</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Determinazione del fattore b</w:t>
            </w:r>
            <w:r w:rsidR="006A15DA">
              <w:rPr>
                <w:noProof/>
                <w:webHidden/>
              </w:rPr>
              <w:tab/>
            </w:r>
            <w:r w:rsidR="006A15DA">
              <w:rPr>
                <w:noProof/>
                <w:webHidden/>
              </w:rPr>
              <w:fldChar w:fldCharType="begin"/>
            </w:r>
            <w:r w:rsidR="006A15DA">
              <w:rPr>
                <w:noProof/>
                <w:webHidden/>
              </w:rPr>
              <w:instrText xml:space="preserve"> PAGEREF _Toc149660960 \h </w:instrText>
            </w:r>
            <w:r w:rsidR="006A15DA">
              <w:rPr>
                <w:noProof/>
                <w:webHidden/>
              </w:rPr>
            </w:r>
            <w:r w:rsidR="006A15DA">
              <w:rPr>
                <w:noProof/>
                <w:webHidden/>
              </w:rPr>
              <w:fldChar w:fldCharType="separate"/>
            </w:r>
            <w:r w:rsidR="006A15DA">
              <w:rPr>
                <w:noProof/>
                <w:webHidden/>
              </w:rPr>
              <w:t>13</w:t>
            </w:r>
            <w:r w:rsidR="006A15DA">
              <w:rPr>
                <w:noProof/>
                <w:webHidden/>
              </w:rPr>
              <w:fldChar w:fldCharType="end"/>
            </w:r>
          </w:hyperlink>
        </w:p>
        <w:p w14:paraId="01455DFB" w14:textId="73F315DC" w:rsidR="006A15DA" w:rsidRDefault="00C22B24">
          <w:pPr>
            <w:pStyle w:val="Sommario3"/>
            <w:tabs>
              <w:tab w:val="left" w:pos="1871"/>
            </w:tabs>
            <w:rPr>
              <w:rFonts w:asciiTheme="minorHAnsi" w:eastAsiaTheme="minorEastAsia" w:hAnsiTheme="minorHAnsi" w:cstheme="minorBidi"/>
              <w:noProof/>
              <w:kern w:val="2"/>
              <w:sz w:val="22"/>
              <w:szCs w:val="22"/>
              <w14:ligatures w14:val="standardContextual"/>
            </w:rPr>
          </w:pPr>
          <w:hyperlink w:anchor="_Toc149660961" w:history="1">
            <w:r w:rsidR="006A15DA" w:rsidRPr="00297C9B">
              <w:rPr>
                <w:rStyle w:val="Collegamentoipertestuale"/>
                <w:rFonts w:eastAsia="Times"/>
                <w:noProof/>
              </w:rPr>
              <w:t>5.4.2</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Determinazione del fattore ω</w:t>
            </w:r>
            <w:r w:rsidR="006A15DA">
              <w:rPr>
                <w:noProof/>
                <w:webHidden/>
              </w:rPr>
              <w:tab/>
            </w:r>
            <w:r w:rsidR="006A15DA">
              <w:rPr>
                <w:noProof/>
                <w:webHidden/>
              </w:rPr>
              <w:fldChar w:fldCharType="begin"/>
            </w:r>
            <w:r w:rsidR="006A15DA">
              <w:rPr>
                <w:noProof/>
                <w:webHidden/>
              </w:rPr>
              <w:instrText xml:space="preserve"> PAGEREF _Toc149660961 \h </w:instrText>
            </w:r>
            <w:r w:rsidR="006A15DA">
              <w:rPr>
                <w:noProof/>
                <w:webHidden/>
              </w:rPr>
            </w:r>
            <w:r w:rsidR="006A15DA">
              <w:rPr>
                <w:noProof/>
                <w:webHidden/>
              </w:rPr>
              <w:fldChar w:fldCharType="separate"/>
            </w:r>
            <w:r w:rsidR="006A15DA">
              <w:rPr>
                <w:noProof/>
                <w:webHidden/>
              </w:rPr>
              <w:t>13</w:t>
            </w:r>
            <w:r w:rsidR="006A15DA">
              <w:rPr>
                <w:noProof/>
                <w:webHidden/>
              </w:rPr>
              <w:fldChar w:fldCharType="end"/>
            </w:r>
          </w:hyperlink>
        </w:p>
        <w:p w14:paraId="5D3322A6" w14:textId="0817F191"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62" w:history="1">
            <w:r w:rsidR="006A15DA" w:rsidRPr="00297C9B">
              <w:rPr>
                <w:rStyle w:val="Collegamentoipertestuale"/>
                <w:rFonts w:eastAsia="Times"/>
                <w:noProof/>
              </w:rPr>
              <w:t>5.5</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Conguagli</w:t>
            </w:r>
            <w:r w:rsidR="006A15DA">
              <w:rPr>
                <w:noProof/>
                <w:webHidden/>
              </w:rPr>
              <w:tab/>
            </w:r>
            <w:r w:rsidR="006A15DA">
              <w:rPr>
                <w:noProof/>
                <w:webHidden/>
              </w:rPr>
              <w:fldChar w:fldCharType="begin"/>
            </w:r>
            <w:r w:rsidR="006A15DA">
              <w:rPr>
                <w:noProof/>
                <w:webHidden/>
              </w:rPr>
              <w:instrText xml:space="preserve"> PAGEREF _Toc149660962 \h </w:instrText>
            </w:r>
            <w:r w:rsidR="006A15DA">
              <w:rPr>
                <w:noProof/>
                <w:webHidden/>
              </w:rPr>
            </w:r>
            <w:r w:rsidR="006A15DA">
              <w:rPr>
                <w:noProof/>
                <w:webHidden/>
              </w:rPr>
              <w:fldChar w:fldCharType="separate"/>
            </w:r>
            <w:r w:rsidR="006A15DA">
              <w:rPr>
                <w:noProof/>
                <w:webHidden/>
              </w:rPr>
              <w:t>13</w:t>
            </w:r>
            <w:r w:rsidR="006A15DA">
              <w:rPr>
                <w:noProof/>
                <w:webHidden/>
              </w:rPr>
              <w:fldChar w:fldCharType="end"/>
            </w:r>
          </w:hyperlink>
        </w:p>
        <w:p w14:paraId="0DC52A8D" w14:textId="3C09151F"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63" w:history="1">
            <w:r w:rsidR="006A15DA" w:rsidRPr="00297C9B">
              <w:rPr>
                <w:rStyle w:val="Collegamentoipertestuale"/>
                <w:rFonts w:eastAsia="Times"/>
                <w:noProof/>
              </w:rPr>
              <w:t>5.6</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Valutazioni in ordine all’equilibrio economico finanziario</w:t>
            </w:r>
            <w:r w:rsidR="006A15DA">
              <w:rPr>
                <w:noProof/>
                <w:webHidden/>
              </w:rPr>
              <w:tab/>
            </w:r>
            <w:r w:rsidR="006A15DA">
              <w:rPr>
                <w:noProof/>
                <w:webHidden/>
              </w:rPr>
              <w:fldChar w:fldCharType="begin"/>
            </w:r>
            <w:r w:rsidR="006A15DA">
              <w:rPr>
                <w:noProof/>
                <w:webHidden/>
              </w:rPr>
              <w:instrText xml:space="preserve"> PAGEREF _Toc149660963 \h </w:instrText>
            </w:r>
            <w:r w:rsidR="006A15DA">
              <w:rPr>
                <w:noProof/>
                <w:webHidden/>
              </w:rPr>
            </w:r>
            <w:r w:rsidR="006A15DA">
              <w:rPr>
                <w:noProof/>
                <w:webHidden/>
              </w:rPr>
              <w:fldChar w:fldCharType="separate"/>
            </w:r>
            <w:r w:rsidR="006A15DA">
              <w:rPr>
                <w:noProof/>
                <w:webHidden/>
              </w:rPr>
              <w:t>13</w:t>
            </w:r>
            <w:r w:rsidR="006A15DA">
              <w:rPr>
                <w:noProof/>
                <w:webHidden/>
              </w:rPr>
              <w:fldChar w:fldCharType="end"/>
            </w:r>
          </w:hyperlink>
        </w:p>
        <w:p w14:paraId="5FFE25E8" w14:textId="4DC3905E"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64" w:history="1">
            <w:r w:rsidR="006A15DA" w:rsidRPr="00297C9B">
              <w:rPr>
                <w:rStyle w:val="Collegamentoipertestuale"/>
                <w:rFonts w:eastAsia="Times"/>
                <w:noProof/>
              </w:rPr>
              <w:t>5.7</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Rinuncia al riconoscimento di alcune componenti di costo</w:t>
            </w:r>
            <w:r w:rsidR="006A15DA">
              <w:rPr>
                <w:noProof/>
                <w:webHidden/>
              </w:rPr>
              <w:tab/>
            </w:r>
            <w:r w:rsidR="006A15DA">
              <w:rPr>
                <w:noProof/>
                <w:webHidden/>
              </w:rPr>
              <w:fldChar w:fldCharType="begin"/>
            </w:r>
            <w:r w:rsidR="006A15DA">
              <w:rPr>
                <w:noProof/>
                <w:webHidden/>
              </w:rPr>
              <w:instrText xml:space="preserve"> PAGEREF _Toc149660964 \h </w:instrText>
            </w:r>
            <w:r w:rsidR="006A15DA">
              <w:rPr>
                <w:noProof/>
                <w:webHidden/>
              </w:rPr>
            </w:r>
            <w:r w:rsidR="006A15DA">
              <w:rPr>
                <w:noProof/>
                <w:webHidden/>
              </w:rPr>
              <w:fldChar w:fldCharType="separate"/>
            </w:r>
            <w:r w:rsidR="006A15DA">
              <w:rPr>
                <w:noProof/>
                <w:webHidden/>
              </w:rPr>
              <w:t>13</w:t>
            </w:r>
            <w:r w:rsidR="006A15DA">
              <w:rPr>
                <w:noProof/>
                <w:webHidden/>
              </w:rPr>
              <w:fldChar w:fldCharType="end"/>
            </w:r>
          </w:hyperlink>
        </w:p>
        <w:p w14:paraId="34012872" w14:textId="247E87DE"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65" w:history="1">
            <w:r w:rsidR="006A15DA" w:rsidRPr="00297C9B">
              <w:rPr>
                <w:rStyle w:val="Collegamentoipertestuale"/>
                <w:rFonts w:eastAsia="Times"/>
                <w:noProof/>
              </w:rPr>
              <w:t>5.8</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Rimodulazione dei conguagli</w:t>
            </w:r>
            <w:r w:rsidR="006A15DA">
              <w:rPr>
                <w:noProof/>
                <w:webHidden/>
              </w:rPr>
              <w:tab/>
            </w:r>
            <w:r w:rsidR="006A15DA">
              <w:rPr>
                <w:noProof/>
                <w:webHidden/>
              </w:rPr>
              <w:fldChar w:fldCharType="begin"/>
            </w:r>
            <w:r w:rsidR="006A15DA">
              <w:rPr>
                <w:noProof/>
                <w:webHidden/>
              </w:rPr>
              <w:instrText xml:space="preserve"> PAGEREF _Toc149660965 \h </w:instrText>
            </w:r>
            <w:r w:rsidR="006A15DA">
              <w:rPr>
                <w:noProof/>
                <w:webHidden/>
              </w:rPr>
            </w:r>
            <w:r w:rsidR="006A15DA">
              <w:rPr>
                <w:noProof/>
                <w:webHidden/>
              </w:rPr>
              <w:fldChar w:fldCharType="separate"/>
            </w:r>
            <w:r w:rsidR="006A15DA">
              <w:rPr>
                <w:noProof/>
                <w:webHidden/>
              </w:rPr>
              <w:t>13</w:t>
            </w:r>
            <w:r w:rsidR="006A15DA">
              <w:rPr>
                <w:noProof/>
                <w:webHidden/>
              </w:rPr>
              <w:fldChar w:fldCharType="end"/>
            </w:r>
          </w:hyperlink>
        </w:p>
        <w:p w14:paraId="2B797E39" w14:textId="318F49AE"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66" w:history="1">
            <w:r w:rsidR="006A15DA" w:rsidRPr="00297C9B">
              <w:rPr>
                <w:rStyle w:val="Collegamentoipertestuale"/>
                <w:rFonts w:eastAsia="Times"/>
                <w:noProof/>
              </w:rPr>
              <w:t>5.9</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Rimodulazione del valore delle entrate tariffarie che eccede il limite alla variazione annuale</w:t>
            </w:r>
            <w:r w:rsidR="006A15DA">
              <w:rPr>
                <w:noProof/>
                <w:webHidden/>
              </w:rPr>
              <w:tab/>
            </w:r>
            <w:r w:rsidR="006A15DA">
              <w:rPr>
                <w:noProof/>
                <w:webHidden/>
              </w:rPr>
              <w:fldChar w:fldCharType="begin"/>
            </w:r>
            <w:r w:rsidR="006A15DA">
              <w:rPr>
                <w:noProof/>
                <w:webHidden/>
              </w:rPr>
              <w:instrText xml:space="preserve"> PAGEREF _Toc149660966 \h </w:instrText>
            </w:r>
            <w:r w:rsidR="006A15DA">
              <w:rPr>
                <w:noProof/>
                <w:webHidden/>
              </w:rPr>
            </w:r>
            <w:r w:rsidR="006A15DA">
              <w:rPr>
                <w:noProof/>
                <w:webHidden/>
              </w:rPr>
              <w:fldChar w:fldCharType="separate"/>
            </w:r>
            <w:r w:rsidR="006A15DA">
              <w:rPr>
                <w:noProof/>
                <w:webHidden/>
              </w:rPr>
              <w:t>14</w:t>
            </w:r>
            <w:r w:rsidR="006A15DA">
              <w:rPr>
                <w:noProof/>
                <w:webHidden/>
              </w:rPr>
              <w:fldChar w:fldCharType="end"/>
            </w:r>
          </w:hyperlink>
        </w:p>
        <w:p w14:paraId="6EEC1E41" w14:textId="35D25063"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67" w:history="1">
            <w:r w:rsidR="006A15DA" w:rsidRPr="00297C9B">
              <w:rPr>
                <w:rStyle w:val="Collegamentoipertestuale"/>
                <w:rFonts w:eastAsia="Times"/>
                <w:noProof/>
              </w:rPr>
              <w:t>5.10</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Eventuale superamento del limite alla crescita annuale delle entrate tariffarie</w:t>
            </w:r>
            <w:r w:rsidR="006A15DA">
              <w:rPr>
                <w:noProof/>
                <w:webHidden/>
              </w:rPr>
              <w:tab/>
            </w:r>
            <w:r w:rsidR="006A15DA">
              <w:rPr>
                <w:noProof/>
                <w:webHidden/>
              </w:rPr>
              <w:fldChar w:fldCharType="begin"/>
            </w:r>
            <w:r w:rsidR="006A15DA">
              <w:rPr>
                <w:noProof/>
                <w:webHidden/>
              </w:rPr>
              <w:instrText xml:space="preserve"> PAGEREF _Toc149660967 \h </w:instrText>
            </w:r>
            <w:r w:rsidR="006A15DA">
              <w:rPr>
                <w:noProof/>
                <w:webHidden/>
              </w:rPr>
            </w:r>
            <w:r w:rsidR="006A15DA">
              <w:rPr>
                <w:noProof/>
                <w:webHidden/>
              </w:rPr>
              <w:fldChar w:fldCharType="separate"/>
            </w:r>
            <w:r w:rsidR="006A15DA">
              <w:rPr>
                <w:noProof/>
                <w:webHidden/>
              </w:rPr>
              <w:t>14</w:t>
            </w:r>
            <w:r w:rsidR="006A15DA">
              <w:rPr>
                <w:noProof/>
                <w:webHidden/>
              </w:rPr>
              <w:fldChar w:fldCharType="end"/>
            </w:r>
          </w:hyperlink>
        </w:p>
        <w:p w14:paraId="7351A3BD" w14:textId="0021C621"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68" w:history="1">
            <w:r w:rsidR="006A15DA" w:rsidRPr="00297C9B">
              <w:rPr>
                <w:rStyle w:val="Collegamentoipertestuale"/>
                <w:rFonts w:eastAsia="Times"/>
                <w:noProof/>
              </w:rPr>
              <w:t>5.11</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Ulteriori detrazioni</w:t>
            </w:r>
            <w:r w:rsidR="006A15DA">
              <w:rPr>
                <w:noProof/>
                <w:webHidden/>
              </w:rPr>
              <w:tab/>
            </w:r>
            <w:r w:rsidR="006A15DA">
              <w:rPr>
                <w:noProof/>
                <w:webHidden/>
              </w:rPr>
              <w:fldChar w:fldCharType="begin"/>
            </w:r>
            <w:r w:rsidR="006A15DA">
              <w:rPr>
                <w:noProof/>
                <w:webHidden/>
              </w:rPr>
              <w:instrText xml:space="preserve"> PAGEREF _Toc149660968 \h </w:instrText>
            </w:r>
            <w:r w:rsidR="006A15DA">
              <w:rPr>
                <w:noProof/>
                <w:webHidden/>
              </w:rPr>
            </w:r>
            <w:r w:rsidR="006A15DA">
              <w:rPr>
                <w:noProof/>
                <w:webHidden/>
              </w:rPr>
              <w:fldChar w:fldCharType="separate"/>
            </w:r>
            <w:r w:rsidR="006A15DA">
              <w:rPr>
                <w:noProof/>
                <w:webHidden/>
              </w:rPr>
              <w:t>14</w:t>
            </w:r>
            <w:r w:rsidR="006A15DA">
              <w:rPr>
                <w:noProof/>
                <w:webHidden/>
              </w:rPr>
              <w:fldChar w:fldCharType="end"/>
            </w:r>
          </w:hyperlink>
        </w:p>
        <w:p w14:paraId="1E037AE1" w14:textId="1555663B" w:rsidR="006A15DA" w:rsidRDefault="00C22B24">
          <w:pPr>
            <w:pStyle w:val="Sommario2"/>
            <w:rPr>
              <w:rFonts w:asciiTheme="minorHAnsi" w:eastAsiaTheme="minorEastAsia" w:hAnsiTheme="minorHAnsi" w:cstheme="minorBidi"/>
              <w:noProof/>
              <w:kern w:val="2"/>
              <w:sz w:val="22"/>
              <w:szCs w:val="22"/>
              <w14:ligatures w14:val="standardContextual"/>
            </w:rPr>
          </w:pPr>
          <w:hyperlink w:anchor="_Toc149660969" w:history="1">
            <w:r w:rsidR="006A15DA" w:rsidRPr="00297C9B">
              <w:rPr>
                <w:rStyle w:val="Collegamentoipertestuale"/>
                <w:rFonts w:eastAsia="Times"/>
                <w:noProof/>
              </w:rPr>
              <w:t>5.12</w:t>
            </w:r>
            <w:r w:rsidR="006A15DA">
              <w:rPr>
                <w:rFonts w:asciiTheme="minorHAnsi" w:eastAsiaTheme="minorEastAsia" w:hAnsiTheme="minorHAnsi" w:cstheme="minorBidi"/>
                <w:noProof/>
                <w:kern w:val="2"/>
                <w:sz w:val="22"/>
                <w:szCs w:val="22"/>
                <w14:ligatures w14:val="standardContextual"/>
              </w:rPr>
              <w:tab/>
            </w:r>
            <w:r w:rsidR="006A15DA" w:rsidRPr="00297C9B">
              <w:rPr>
                <w:rStyle w:val="Collegamentoipertestuale"/>
                <w:rFonts w:eastAsia="Times"/>
                <w:noProof/>
              </w:rPr>
              <w:t>Monitoraggio del grado di copertura dei costi efficienti della raccolta differenziata</w:t>
            </w:r>
            <w:r w:rsidR="006A15DA">
              <w:rPr>
                <w:noProof/>
                <w:webHidden/>
              </w:rPr>
              <w:tab/>
            </w:r>
            <w:r w:rsidR="006A15DA">
              <w:rPr>
                <w:noProof/>
                <w:webHidden/>
              </w:rPr>
              <w:fldChar w:fldCharType="begin"/>
            </w:r>
            <w:r w:rsidR="006A15DA">
              <w:rPr>
                <w:noProof/>
                <w:webHidden/>
              </w:rPr>
              <w:instrText xml:space="preserve"> PAGEREF _Toc149660969 \h </w:instrText>
            </w:r>
            <w:r w:rsidR="006A15DA">
              <w:rPr>
                <w:noProof/>
                <w:webHidden/>
              </w:rPr>
            </w:r>
            <w:r w:rsidR="006A15DA">
              <w:rPr>
                <w:noProof/>
                <w:webHidden/>
              </w:rPr>
              <w:fldChar w:fldCharType="separate"/>
            </w:r>
            <w:r w:rsidR="006A15DA">
              <w:rPr>
                <w:noProof/>
                <w:webHidden/>
              </w:rPr>
              <w:t>14</w:t>
            </w:r>
            <w:r w:rsidR="006A15DA">
              <w:rPr>
                <w:noProof/>
                <w:webHidden/>
              </w:rPr>
              <w:fldChar w:fldCharType="end"/>
            </w:r>
          </w:hyperlink>
        </w:p>
        <w:p w14:paraId="61FCF048" w14:textId="068DCEE7" w:rsidR="009C581C" w:rsidRDefault="009C581C">
          <w:r>
            <w:rPr>
              <w:b/>
              <w:bCs/>
            </w:rPr>
            <w:fldChar w:fldCharType="end"/>
          </w:r>
        </w:p>
      </w:sdtContent>
    </w:sdt>
    <w:p w14:paraId="6266FC3F" w14:textId="732DBE88" w:rsidR="003E62EC" w:rsidRDefault="003E62EC" w:rsidP="00ED76E9"/>
    <w:p w14:paraId="7A383F59" w14:textId="5AE32E85" w:rsidR="00ED76E9" w:rsidRDefault="00ED76E9">
      <w:pPr>
        <w:jc w:val="left"/>
        <w:rPr>
          <w:highlight w:val="yellow"/>
        </w:rPr>
      </w:pPr>
      <w:r>
        <w:rPr>
          <w:highlight w:val="yellow"/>
        </w:rPr>
        <w:br w:type="page"/>
      </w:r>
    </w:p>
    <w:p w14:paraId="587C8173" w14:textId="77777777" w:rsidR="00ED76E9" w:rsidRDefault="00ED76E9" w:rsidP="00ED76E9"/>
    <w:p w14:paraId="5FE1CE76" w14:textId="495D0366" w:rsidR="005316ED" w:rsidRDefault="00AE47BD" w:rsidP="00DF1881">
      <w:pPr>
        <w:pStyle w:val="Titolo1"/>
        <w:numPr>
          <w:ilvl w:val="0"/>
          <w:numId w:val="42"/>
        </w:numPr>
      </w:pPr>
      <w:bookmarkStart w:id="4" w:name="_Toc149660927"/>
      <w:r>
        <w:t>Premessa</w:t>
      </w:r>
      <w:r w:rsidR="004258AF">
        <w:t xml:space="preserve"> </w:t>
      </w:r>
      <w:r w:rsidR="00FF66CD">
        <w:t>(</w:t>
      </w:r>
      <w:r w:rsidR="00FF66CD" w:rsidRPr="00BF6F2C">
        <w:rPr>
          <w:i/>
          <w:iCs/>
        </w:rPr>
        <w:t>E</w:t>
      </w:r>
      <w:r w:rsidR="00BF6F2C" w:rsidRPr="00BF6F2C">
        <w:rPr>
          <w:i/>
          <w:iCs/>
        </w:rPr>
        <w:t>TC</w:t>
      </w:r>
      <w:r w:rsidR="00FF66CD">
        <w:t>)</w:t>
      </w:r>
      <w:bookmarkEnd w:id="3"/>
      <w:bookmarkEnd w:id="2"/>
      <w:bookmarkEnd w:id="1"/>
      <w:bookmarkEnd w:id="4"/>
    </w:p>
    <w:p w14:paraId="2D5EE192" w14:textId="5845A22E" w:rsidR="00DF1881" w:rsidRDefault="00DF1881" w:rsidP="00DF1881">
      <w:r w:rsidRPr="00D740F0">
        <w:t xml:space="preserve">In via preliminare l’Ente territorialmente competente procede ad una sintetica descrizione del contesto istituzionale, gestionale e tariffario del territorio di propria competenza </w:t>
      </w:r>
      <w:r w:rsidR="001511C1" w:rsidRPr="00D740F0">
        <w:t>tramite la compilazione dei successivi paragrafi</w:t>
      </w:r>
      <w:r w:rsidR="00AB49CF" w:rsidRPr="00D740F0">
        <w:t>.</w:t>
      </w:r>
    </w:p>
    <w:p w14:paraId="2C0056E9" w14:textId="77777777" w:rsidR="00DF1881" w:rsidRPr="00AE47BD" w:rsidRDefault="00DF1881" w:rsidP="00DF1881"/>
    <w:p w14:paraId="2412FD51" w14:textId="509B3AD5" w:rsidR="00DF1881" w:rsidRPr="00FF66CD" w:rsidRDefault="00DF1881" w:rsidP="00A14713">
      <w:pPr>
        <w:pStyle w:val="Titolo2"/>
        <w:tabs>
          <w:tab w:val="clear" w:pos="5395"/>
        </w:tabs>
        <w:ind w:left="567"/>
      </w:pPr>
      <w:bookmarkStart w:id="5" w:name="_Toc86134940"/>
      <w:bookmarkStart w:id="6" w:name="_Toc86135029"/>
      <w:bookmarkStart w:id="7" w:name="_Toc86135624"/>
      <w:bookmarkStart w:id="8" w:name="_Toc149660928"/>
      <w:r w:rsidRPr="00271F93">
        <w:t>Comune/i ricompreso/i nell’ambito tariffario</w:t>
      </w:r>
      <w:bookmarkEnd w:id="5"/>
      <w:bookmarkEnd w:id="6"/>
      <w:bookmarkEnd w:id="7"/>
      <w:bookmarkEnd w:id="8"/>
    </w:p>
    <w:p w14:paraId="078CC9A5" w14:textId="77777777" w:rsidR="00DF1881" w:rsidRPr="00271F93" w:rsidRDefault="00DF1881" w:rsidP="00DF1881">
      <w:r w:rsidRPr="00271F93">
        <w:t>L’Ente territorialmente competente provvede innanzitutto ad indicare il/i comune/i ricompreso/i nell’ambito tariffario</w:t>
      </w:r>
      <w:r w:rsidRPr="00271F93">
        <w:rPr>
          <w:rStyle w:val="Rimandonotaapidipagina"/>
        </w:rPr>
        <w:footnoteReference w:id="2"/>
      </w:r>
      <w:r w:rsidRPr="00271F93">
        <w:t>.</w:t>
      </w:r>
    </w:p>
    <w:p w14:paraId="3F2081C7" w14:textId="33B34DE1" w:rsidR="00DF1881" w:rsidRDefault="00DF1881" w:rsidP="00DF1881">
      <w:r w:rsidRPr="00271F93">
        <w:t xml:space="preserve">In caso di contratti di </w:t>
      </w:r>
      <w:r w:rsidR="003C5C51">
        <w:t xml:space="preserve">affidamento del </w:t>
      </w:r>
      <w:r w:rsidRPr="00271F93">
        <w:t xml:space="preserve">servizio </w:t>
      </w:r>
      <w:r w:rsidR="003C5C51">
        <w:t xml:space="preserve">pluricomunali </w:t>
      </w:r>
      <w:r w:rsidRPr="00271F93">
        <w:t>che interessano una pluralità di ambiti tariffari, l’Ente territorialmente competente può redigere la presente sezione</w:t>
      </w:r>
      <w:r w:rsidR="00D70762">
        <w:t xml:space="preserve"> </w:t>
      </w:r>
      <w:r w:rsidR="00FF2FBE">
        <w:t xml:space="preserve">(premessa) </w:t>
      </w:r>
      <w:r w:rsidRPr="00271F93">
        <w:t>in forma aggregata per i predetti ambiti tariffari, dando conto di eventuali specificità che interessano soltanto uno o alcuni di essi.</w:t>
      </w:r>
    </w:p>
    <w:p w14:paraId="5D1F8A08" w14:textId="77777777" w:rsidR="00DF1881" w:rsidRPr="00271F93" w:rsidRDefault="00DF1881" w:rsidP="00DF1881"/>
    <w:p w14:paraId="1DFF2D79" w14:textId="2C3D02DB" w:rsidR="00DF1881" w:rsidRPr="00FF66CD" w:rsidRDefault="00DF1881" w:rsidP="00A14713">
      <w:pPr>
        <w:pStyle w:val="Titolo2"/>
        <w:tabs>
          <w:tab w:val="clear" w:pos="5395"/>
        </w:tabs>
        <w:ind w:left="567"/>
      </w:pPr>
      <w:bookmarkStart w:id="9" w:name="_Toc86134941"/>
      <w:bookmarkStart w:id="10" w:name="_Toc86135030"/>
      <w:bookmarkStart w:id="11" w:name="_Toc86135625"/>
      <w:bookmarkStart w:id="12" w:name="_Toc149660929"/>
      <w:r w:rsidRPr="00FF66CD">
        <w:t xml:space="preserve">Soggetti </w:t>
      </w:r>
      <w:r w:rsidR="009D6D15">
        <w:t>gestori</w:t>
      </w:r>
      <w:r w:rsidR="00152211">
        <w:t xml:space="preserve"> </w:t>
      </w:r>
      <w:r w:rsidRPr="00FF66CD">
        <w:t>per ciascun ambito tariffario</w:t>
      </w:r>
      <w:bookmarkEnd w:id="9"/>
      <w:bookmarkEnd w:id="10"/>
      <w:bookmarkEnd w:id="11"/>
      <w:bookmarkEnd w:id="12"/>
      <w:r w:rsidRPr="00FF66CD">
        <w:t xml:space="preserve"> </w:t>
      </w:r>
    </w:p>
    <w:p w14:paraId="782A045B" w14:textId="6A71A6CD" w:rsidR="00DF1881" w:rsidRDefault="00DF1881" w:rsidP="00DF1881">
      <w:r w:rsidRPr="00A8048C">
        <w:t>In conformità alle definizioni contenute nell’articolo 1 del</w:t>
      </w:r>
      <w:r w:rsidR="009C581C">
        <w:t>l’Allegato A alla deliberazione 363/2021/R/</w:t>
      </w:r>
      <w:r w:rsidR="009C581C" w:rsidRPr="00BC1E8A">
        <w:rPr>
          <w:sz w:val="20"/>
          <w:szCs w:val="20"/>
        </w:rPr>
        <w:t>RIF</w:t>
      </w:r>
      <w:r w:rsidRPr="00A8048C">
        <w:t xml:space="preserve"> </w:t>
      </w:r>
      <w:r w:rsidR="009C581C">
        <w:t>(</w:t>
      </w:r>
      <w:r w:rsidRPr="00A8048C">
        <w:t>MTR-2</w:t>
      </w:r>
      <w:r w:rsidR="009C581C">
        <w:t>)</w:t>
      </w:r>
      <w:r w:rsidR="00506A44">
        <w:rPr>
          <w:lang w:eastAsia="en-GB"/>
        </w:rPr>
        <w:t xml:space="preserve"> come integrat</w:t>
      </w:r>
      <w:r w:rsidR="00DA2F0E">
        <w:rPr>
          <w:lang w:eastAsia="en-GB"/>
        </w:rPr>
        <w:t>a</w:t>
      </w:r>
      <w:r w:rsidR="00506A44">
        <w:rPr>
          <w:lang w:eastAsia="en-GB"/>
        </w:rPr>
        <w:t xml:space="preserve"> e modificat</w:t>
      </w:r>
      <w:r w:rsidR="00DA2F0E">
        <w:rPr>
          <w:lang w:eastAsia="en-GB"/>
        </w:rPr>
        <w:t>a</w:t>
      </w:r>
      <w:r w:rsidR="00506A44">
        <w:rPr>
          <w:lang w:eastAsia="en-GB"/>
        </w:rPr>
        <w:t xml:space="preserve"> dalla delibera</w:t>
      </w:r>
      <w:r w:rsidR="00DA2F0E">
        <w:rPr>
          <w:lang w:eastAsia="en-GB"/>
        </w:rPr>
        <w:t>zione</w:t>
      </w:r>
      <w:r w:rsidR="00506A44">
        <w:rPr>
          <w:lang w:eastAsia="en-GB"/>
        </w:rPr>
        <w:t xml:space="preserve"> 389/2023/R/</w:t>
      </w:r>
      <w:r w:rsidR="00506A44" w:rsidRPr="00240D96">
        <w:rPr>
          <w:smallCaps/>
          <w:lang w:eastAsia="en-GB"/>
        </w:rPr>
        <w:t>rif</w:t>
      </w:r>
      <w:r w:rsidR="00506A44">
        <w:rPr>
          <w:smallCaps/>
          <w:lang w:eastAsia="en-GB"/>
        </w:rPr>
        <w:t xml:space="preserve"> (</w:t>
      </w:r>
      <w:r w:rsidR="00506A44" w:rsidRPr="00E32C6C">
        <w:rPr>
          <w:lang w:eastAsia="en-GB"/>
        </w:rPr>
        <w:t xml:space="preserve">di </w:t>
      </w:r>
      <w:r w:rsidR="00506A44">
        <w:rPr>
          <w:lang w:eastAsia="en-GB"/>
        </w:rPr>
        <w:t xml:space="preserve">seguito: </w:t>
      </w:r>
      <w:r w:rsidR="00951FEF">
        <w:rPr>
          <w:lang w:eastAsia="en-GB"/>
        </w:rPr>
        <w:t xml:space="preserve">deliberazione </w:t>
      </w:r>
      <w:r w:rsidR="00951FEF">
        <w:t>363/2021/R/</w:t>
      </w:r>
      <w:r w:rsidR="00951FEF" w:rsidRPr="00BC1E8A">
        <w:rPr>
          <w:sz w:val="20"/>
          <w:szCs w:val="20"/>
        </w:rPr>
        <w:t>RIF</w:t>
      </w:r>
      <w:r w:rsidR="00951FEF">
        <w:rPr>
          <w:sz w:val="20"/>
          <w:szCs w:val="20"/>
        </w:rPr>
        <w:t xml:space="preserve"> </w:t>
      </w:r>
      <w:r w:rsidR="00951FEF" w:rsidRPr="00951FEF">
        <w:t>aggiornata e</w:t>
      </w:r>
      <w:r w:rsidR="00951FEF">
        <w:rPr>
          <w:lang w:eastAsia="en-GB"/>
        </w:rPr>
        <w:t xml:space="preserve"> </w:t>
      </w:r>
      <w:r w:rsidR="00506A44">
        <w:rPr>
          <w:lang w:eastAsia="en-GB"/>
        </w:rPr>
        <w:t>MTR-2 aggiornato)</w:t>
      </w:r>
      <w:r w:rsidRPr="00A8048C">
        <w:t xml:space="preserve">, l’Ente territorialmente competente indica, per ciascun ambito tariffario, il gestore </w:t>
      </w:r>
      <w:bookmarkStart w:id="13" w:name="_Hlk85454730"/>
      <w:r w:rsidRPr="00A8048C">
        <w:t xml:space="preserve">del servizio integrato di gestione dei rifiuti urbani ovvero i gestori dei singoli servizi che lo compongono, ivi compresi i comuni che gestiscono in economia uno o più dei predetti servizi, </w:t>
      </w:r>
      <w:bookmarkEnd w:id="13"/>
      <w:r w:rsidR="00FC707E">
        <w:t xml:space="preserve">tenuti a predisporre il PEF </w:t>
      </w:r>
      <w:r w:rsidR="00D758B4">
        <w:t>ai sensi dell’art</w:t>
      </w:r>
      <w:r w:rsidR="00466590">
        <w:t>icolo</w:t>
      </w:r>
      <w:r w:rsidR="00D758B4">
        <w:t xml:space="preserve"> 27 del MTR</w:t>
      </w:r>
      <w:r w:rsidR="007253B7">
        <w:t>-2 aggiornato</w:t>
      </w:r>
      <w:r w:rsidR="00264277">
        <w:t>. Ove rileva</w:t>
      </w:r>
      <w:r w:rsidR="00C527E7">
        <w:t>,</w:t>
      </w:r>
      <w:r w:rsidR="00264277">
        <w:t xml:space="preserve"> l’ETC </w:t>
      </w:r>
      <w:r w:rsidRPr="00A8048C">
        <w:t>d</w:t>
      </w:r>
      <w:r w:rsidR="00466590">
        <w:t>à</w:t>
      </w:r>
      <w:r w:rsidRPr="00A8048C">
        <w:t xml:space="preserve"> evidenza di eventuali avvicendamenti gestionali </w:t>
      </w:r>
      <w:r w:rsidR="0043591C">
        <w:t xml:space="preserve">avvenuti a partire </w:t>
      </w:r>
      <w:r w:rsidR="00A72F1A">
        <w:t>dal 2022</w:t>
      </w:r>
      <w:r w:rsidR="00D82502">
        <w:t xml:space="preserve">, nonché </w:t>
      </w:r>
      <w:r w:rsidRPr="00A8048C">
        <w:t xml:space="preserve">previsti nel </w:t>
      </w:r>
      <w:r w:rsidR="009F1A73">
        <w:t>biennio 2024-2025</w:t>
      </w:r>
      <w:r w:rsidRPr="00A8048C">
        <w:t>.</w:t>
      </w:r>
    </w:p>
    <w:p w14:paraId="599DD8B0" w14:textId="77777777" w:rsidR="00A72F1A" w:rsidRPr="00A8048C" w:rsidRDefault="00A72F1A" w:rsidP="00DF1881"/>
    <w:p w14:paraId="7EF60E6A" w14:textId="5EBA2212" w:rsidR="00DF1881" w:rsidRPr="00E84293" w:rsidRDefault="00DF1881" w:rsidP="003905F9">
      <w:pPr>
        <w:pStyle w:val="Titolo2"/>
        <w:tabs>
          <w:tab w:val="clear" w:pos="5395"/>
        </w:tabs>
        <w:ind w:left="567"/>
      </w:pPr>
      <w:bookmarkStart w:id="14" w:name="_Toc86134942"/>
      <w:bookmarkStart w:id="15" w:name="_Toc86135031"/>
      <w:bookmarkStart w:id="16" w:name="_Toc86135626"/>
      <w:bookmarkStart w:id="17" w:name="_Toc149660930"/>
      <w:r>
        <w:t xml:space="preserve">Impianti di chiusura del </w:t>
      </w:r>
      <w:r w:rsidRPr="00E84293">
        <w:t>ciclo</w:t>
      </w:r>
      <w:bookmarkEnd w:id="14"/>
      <w:bookmarkEnd w:id="15"/>
      <w:bookmarkEnd w:id="16"/>
      <w:r w:rsidR="00312D7A" w:rsidRPr="00E84293">
        <w:t xml:space="preserve"> </w:t>
      </w:r>
      <w:r w:rsidR="00CF2472" w:rsidRPr="00E84293">
        <w:t>del gestore integrato</w:t>
      </w:r>
      <w:bookmarkEnd w:id="17"/>
    </w:p>
    <w:p w14:paraId="40940659" w14:textId="51440197" w:rsidR="00DF1881" w:rsidRDefault="00DF1881" w:rsidP="00DF1881">
      <w:r w:rsidRPr="00E84293">
        <w:t>L’Ente territorialmente competente indica quali sono gli impianti</w:t>
      </w:r>
      <w:r w:rsidR="00325803" w:rsidRPr="00E84293">
        <w:t xml:space="preserve"> di chiusura del ciclo</w:t>
      </w:r>
      <w:r w:rsidRPr="00E84293">
        <w:t xml:space="preserve"> del gestore integrato </w:t>
      </w:r>
      <w:r w:rsidR="004122C8" w:rsidRPr="00E84293">
        <w:t xml:space="preserve">cui vengono </w:t>
      </w:r>
      <w:r w:rsidRPr="00E84293">
        <w:t>conferi</w:t>
      </w:r>
      <w:r w:rsidR="004122C8" w:rsidRPr="00E84293">
        <w:t>ti i rifiuti</w:t>
      </w:r>
      <w:r w:rsidRPr="00E84293">
        <w:t xml:space="preserve"> dell’ambito tariffario oggetto</w:t>
      </w:r>
      <w:r>
        <w:t xml:space="preserve"> di predisposizione tariffaria specificandone la tipologia (discarica, incenerimento senza recupero di energia, incenerimento con recupero di energia, impianto di compostaggio</w:t>
      </w:r>
      <w:r w:rsidR="00F638F6">
        <w:t>/digestione anaerobica o misti</w:t>
      </w:r>
      <w:r>
        <w:t>)</w:t>
      </w:r>
      <w:r w:rsidR="00704EE2">
        <w:t>.</w:t>
      </w:r>
    </w:p>
    <w:p w14:paraId="09C45855" w14:textId="25DC548B" w:rsidR="00DF1881" w:rsidRPr="004F090E" w:rsidRDefault="00910C21" w:rsidP="00DF1881">
      <w:r>
        <w:t xml:space="preserve"> </w:t>
      </w:r>
      <w:r w:rsidR="0096100A">
        <w:t xml:space="preserve"> </w:t>
      </w:r>
    </w:p>
    <w:p w14:paraId="4C7D59BE" w14:textId="61AC4A2D" w:rsidR="00DF1881" w:rsidRPr="00C8655D" w:rsidRDefault="00DF1881" w:rsidP="00C0325F">
      <w:pPr>
        <w:pStyle w:val="Titolo2"/>
        <w:tabs>
          <w:tab w:val="clear" w:pos="5395"/>
        </w:tabs>
        <w:ind w:left="567"/>
      </w:pPr>
      <w:bookmarkStart w:id="18" w:name="_Toc86134944"/>
      <w:bookmarkStart w:id="19" w:name="_Toc86135033"/>
      <w:bookmarkStart w:id="20" w:name="_Toc86135628"/>
      <w:bookmarkStart w:id="21" w:name="_Toc149660931"/>
      <w:r w:rsidRPr="00C8655D">
        <w:t>Documentazione per ciascun ambito tariffario</w:t>
      </w:r>
      <w:bookmarkEnd w:id="18"/>
      <w:bookmarkEnd w:id="19"/>
      <w:bookmarkEnd w:id="20"/>
      <w:bookmarkEnd w:id="21"/>
    </w:p>
    <w:p w14:paraId="7FE8B5F2" w14:textId="1719A164" w:rsidR="00DF1881" w:rsidRPr="00542F99" w:rsidRDefault="00DF1881" w:rsidP="00DF1881">
      <w:r w:rsidRPr="00542F99">
        <w:t>In conformità alla previsione dell’articolo 7.3 della deliberazione 363/2021/R/</w:t>
      </w:r>
      <w:r w:rsidRPr="00EE4CEA">
        <w:rPr>
          <w:smallCaps/>
        </w:rPr>
        <w:t>rif</w:t>
      </w:r>
      <w:r w:rsidR="00CB5769">
        <w:rPr>
          <w:smallCaps/>
        </w:rPr>
        <w:t xml:space="preserve"> </w:t>
      </w:r>
      <w:r w:rsidR="00CB5769" w:rsidRPr="00CB5769">
        <w:t>aggiornata</w:t>
      </w:r>
      <w:r w:rsidRPr="00542F99">
        <w:t>, l’Ente territorialmente competente acquisisce da ciascun gestore e relativamente a ciascun ambito tariffario di sua competenza:</w:t>
      </w:r>
    </w:p>
    <w:p w14:paraId="1D9902A5" w14:textId="4452F40F" w:rsidR="00DF1881" w:rsidRPr="003B078C" w:rsidRDefault="00DF1881" w:rsidP="00EE4CEA">
      <w:pPr>
        <w:pStyle w:val="Paragrafoelenco"/>
        <w:numPr>
          <w:ilvl w:val="0"/>
          <w:numId w:val="103"/>
        </w:numPr>
        <w:jc w:val="both"/>
        <w:rPr>
          <w:sz w:val="24"/>
          <w:szCs w:val="24"/>
        </w:rPr>
      </w:pPr>
      <w:r w:rsidRPr="00530407">
        <w:rPr>
          <w:sz w:val="24"/>
          <w:szCs w:val="24"/>
        </w:rPr>
        <w:t>il PEF relativo al servizio integrato o al/i singolo/i servizio/i svolto/i da ciascun gestore redatto secondo lo schema tipo predisposto dall’Autorità d</w:t>
      </w:r>
      <w:r w:rsidRPr="00F47521">
        <w:rPr>
          <w:sz w:val="24"/>
          <w:szCs w:val="24"/>
        </w:rPr>
        <w:t>i cui all’A</w:t>
      </w:r>
      <w:r w:rsidR="00535B59">
        <w:rPr>
          <w:sz w:val="24"/>
          <w:szCs w:val="24"/>
        </w:rPr>
        <w:t>llegato</w:t>
      </w:r>
      <w:r w:rsidRPr="00F47521">
        <w:rPr>
          <w:sz w:val="24"/>
          <w:szCs w:val="24"/>
        </w:rPr>
        <w:t xml:space="preserve"> 1 della determina </w:t>
      </w:r>
      <w:r w:rsidR="005518DB">
        <w:rPr>
          <w:sz w:val="24"/>
          <w:szCs w:val="24"/>
        </w:rPr>
        <w:t>1</w:t>
      </w:r>
      <w:r w:rsidRPr="00F5187A">
        <w:rPr>
          <w:sz w:val="24"/>
          <w:szCs w:val="24"/>
        </w:rPr>
        <w:t>/</w:t>
      </w:r>
      <w:r w:rsidR="0024236B">
        <w:rPr>
          <w:sz w:val="24"/>
          <w:szCs w:val="24"/>
        </w:rPr>
        <w:t>DTAC</w:t>
      </w:r>
      <w:r w:rsidRPr="00CB1D12">
        <w:rPr>
          <w:sz w:val="24"/>
          <w:szCs w:val="24"/>
        </w:rPr>
        <w:t>/</w:t>
      </w:r>
      <w:r w:rsidRPr="00CE60C0">
        <w:rPr>
          <w:smallCaps/>
          <w:sz w:val="24"/>
          <w:szCs w:val="24"/>
        </w:rPr>
        <w:t>202</w:t>
      </w:r>
      <w:r w:rsidR="005518DB">
        <w:rPr>
          <w:smallCaps/>
          <w:sz w:val="24"/>
          <w:szCs w:val="24"/>
        </w:rPr>
        <w:t>3</w:t>
      </w:r>
      <w:r w:rsidRPr="00A407C7">
        <w:rPr>
          <w:sz w:val="24"/>
          <w:szCs w:val="24"/>
        </w:rPr>
        <w:t>, compilat</w:t>
      </w:r>
      <w:r w:rsidR="00060609">
        <w:rPr>
          <w:sz w:val="24"/>
          <w:szCs w:val="24"/>
        </w:rPr>
        <w:t>o</w:t>
      </w:r>
      <w:r w:rsidRPr="00A407C7">
        <w:rPr>
          <w:sz w:val="24"/>
          <w:szCs w:val="24"/>
        </w:rPr>
        <w:t xml:space="preserve"> per le parti di propria competenza;</w:t>
      </w:r>
    </w:p>
    <w:p w14:paraId="120745FE" w14:textId="0BE23101" w:rsidR="00DF1881" w:rsidRPr="003B078C" w:rsidRDefault="00DF1881" w:rsidP="00EE4CEA">
      <w:pPr>
        <w:pStyle w:val="Paragrafoelenco"/>
        <w:numPr>
          <w:ilvl w:val="0"/>
          <w:numId w:val="103"/>
        </w:numPr>
        <w:jc w:val="both"/>
        <w:rPr>
          <w:sz w:val="24"/>
          <w:szCs w:val="24"/>
        </w:rPr>
      </w:pPr>
      <w:r w:rsidRPr="00530407">
        <w:rPr>
          <w:sz w:val="24"/>
          <w:szCs w:val="24"/>
        </w:rPr>
        <w:t>i capitoli 2 e 3 redatti secondo lo schema tipo di relazione di accompagnamento predisposto dall’Autorità (A</w:t>
      </w:r>
      <w:r w:rsidR="00535B59">
        <w:rPr>
          <w:sz w:val="24"/>
          <w:szCs w:val="24"/>
        </w:rPr>
        <w:t>llegato</w:t>
      </w:r>
      <w:r w:rsidRPr="00530407">
        <w:rPr>
          <w:sz w:val="24"/>
          <w:szCs w:val="24"/>
        </w:rPr>
        <w:t xml:space="preserve"> 2 della determina </w:t>
      </w:r>
      <w:r w:rsidR="00815850">
        <w:rPr>
          <w:sz w:val="24"/>
          <w:szCs w:val="24"/>
        </w:rPr>
        <w:t>1</w:t>
      </w:r>
      <w:r w:rsidRPr="00F5187A">
        <w:rPr>
          <w:sz w:val="24"/>
          <w:szCs w:val="24"/>
        </w:rPr>
        <w:t>/</w:t>
      </w:r>
      <w:r w:rsidR="0024236B">
        <w:rPr>
          <w:sz w:val="24"/>
          <w:szCs w:val="24"/>
        </w:rPr>
        <w:t>DTAC</w:t>
      </w:r>
      <w:r w:rsidRPr="00F5187A">
        <w:rPr>
          <w:sz w:val="24"/>
          <w:szCs w:val="24"/>
        </w:rPr>
        <w:t>/</w:t>
      </w:r>
      <w:r w:rsidRPr="00CB1D12">
        <w:rPr>
          <w:smallCaps/>
          <w:sz w:val="24"/>
          <w:szCs w:val="24"/>
        </w:rPr>
        <w:t>202</w:t>
      </w:r>
      <w:r w:rsidR="00595041">
        <w:rPr>
          <w:smallCaps/>
          <w:sz w:val="24"/>
          <w:szCs w:val="24"/>
        </w:rPr>
        <w:t>3</w:t>
      </w:r>
      <w:r w:rsidRPr="00CE60C0">
        <w:rPr>
          <w:sz w:val="24"/>
          <w:szCs w:val="24"/>
        </w:rPr>
        <w:t xml:space="preserve">). In caso di contratto di </w:t>
      </w:r>
      <w:r w:rsidR="00A6442D" w:rsidRPr="00A407C7">
        <w:rPr>
          <w:sz w:val="24"/>
          <w:szCs w:val="24"/>
        </w:rPr>
        <w:t xml:space="preserve">affidamento del </w:t>
      </w:r>
      <w:r w:rsidRPr="00466FEB">
        <w:rPr>
          <w:sz w:val="24"/>
          <w:szCs w:val="24"/>
        </w:rPr>
        <w:t xml:space="preserve">servizio </w:t>
      </w:r>
      <w:r w:rsidR="00542494" w:rsidRPr="00CB5D93">
        <w:rPr>
          <w:sz w:val="24"/>
          <w:szCs w:val="24"/>
        </w:rPr>
        <w:t>pluri</w:t>
      </w:r>
      <w:r w:rsidRPr="00BD51D3">
        <w:rPr>
          <w:sz w:val="24"/>
          <w:szCs w:val="24"/>
        </w:rPr>
        <w:t>comunale</w:t>
      </w:r>
      <w:r w:rsidRPr="00540AE1">
        <w:rPr>
          <w:sz w:val="24"/>
          <w:szCs w:val="24"/>
        </w:rPr>
        <w:t xml:space="preserve"> è facoltà dell’Ente territorialmente competente</w:t>
      </w:r>
      <w:r w:rsidRPr="006D0DCF">
        <w:rPr>
          <w:sz w:val="24"/>
          <w:szCs w:val="24"/>
        </w:rPr>
        <w:t xml:space="preserve"> richiedere al gestore la redazione di un’unica relazione di accompagnamento, purché sia garantito il dettaglio</w:t>
      </w:r>
      <w:r w:rsidR="00E7470C">
        <w:rPr>
          <w:sz w:val="24"/>
          <w:szCs w:val="24"/>
        </w:rPr>
        <w:t xml:space="preserve"> di tutte le informazioni e le valutazioni necessarie a illustrare il singolo PEF da trasmettere all’Autorità, precisando i </w:t>
      </w:r>
      <w:r w:rsidRPr="006D0DCF">
        <w:rPr>
          <w:sz w:val="24"/>
          <w:szCs w:val="24"/>
        </w:rPr>
        <w:t xml:space="preserve">servizi svolti in ciascun comune e </w:t>
      </w:r>
      <w:r w:rsidR="00E7470C">
        <w:rPr>
          <w:sz w:val="24"/>
          <w:szCs w:val="24"/>
        </w:rPr>
        <w:t>gli</w:t>
      </w:r>
      <w:r w:rsidRPr="006D0DCF">
        <w:rPr>
          <w:sz w:val="24"/>
          <w:szCs w:val="24"/>
        </w:rPr>
        <w:t xml:space="preserve"> eventuali altri </w:t>
      </w:r>
      <w:r w:rsidRPr="006D0DCF">
        <w:rPr>
          <w:sz w:val="24"/>
          <w:szCs w:val="24"/>
        </w:rPr>
        <w:lastRenderedPageBreak/>
        <w:t>elementi di specificità di livello comunale, anche mediante l’inserimento di tabe</w:t>
      </w:r>
      <w:r w:rsidRPr="00EB1544">
        <w:rPr>
          <w:sz w:val="24"/>
          <w:szCs w:val="24"/>
        </w:rPr>
        <w:t>lle r</w:t>
      </w:r>
      <w:r w:rsidRPr="003E080F">
        <w:rPr>
          <w:sz w:val="24"/>
          <w:szCs w:val="24"/>
        </w:rPr>
        <w:t>iepilogative;</w:t>
      </w:r>
    </w:p>
    <w:p w14:paraId="3C14D0C7" w14:textId="0B50F5D3" w:rsidR="00DF1881" w:rsidRPr="003B078C" w:rsidRDefault="00DF1881" w:rsidP="00EE4CEA">
      <w:pPr>
        <w:pStyle w:val="Paragrafoelenco"/>
        <w:numPr>
          <w:ilvl w:val="0"/>
          <w:numId w:val="103"/>
        </w:numPr>
        <w:jc w:val="both"/>
        <w:rPr>
          <w:sz w:val="24"/>
          <w:szCs w:val="24"/>
        </w:rPr>
      </w:pPr>
      <w:r w:rsidRPr="00530407">
        <w:rPr>
          <w:sz w:val="24"/>
          <w:szCs w:val="24"/>
        </w:rPr>
        <w:t>una dichiarazione, predisposta utilizzando lo schema tipo di cui all’A</w:t>
      </w:r>
      <w:r w:rsidR="00535B59">
        <w:rPr>
          <w:sz w:val="24"/>
          <w:szCs w:val="24"/>
        </w:rPr>
        <w:t>llegato</w:t>
      </w:r>
      <w:r w:rsidRPr="00530407">
        <w:rPr>
          <w:sz w:val="24"/>
          <w:szCs w:val="24"/>
        </w:rPr>
        <w:t xml:space="preserve"> 3 (per i soggetti di diritto privato) o dell’A</w:t>
      </w:r>
      <w:r w:rsidR="00535B59">
        <w:rPr>
          <w:sz w:val="24"/>
          <w:szCs w:val="24"/>
        </w:rPr>
        <w:t>llegato</w:t>
      </w:r>
      <w:r w:rsidRPr="00530407">
        <w:rPr>
          <w:sz w:val="24"/>
          <w:szCs w:val="24"/>
        </w:rPr>
        <w:t xml:space="preserve"> 4 (per gli enti pubblici) della determina </w:t>
      </w:r>
      <w:r w:rsidR="00595041">
        <w:rPr>
          <w:sz w:val="24"/>
          <w:szCs w:val="24"/>
        </w:rPr>
        <w:t>1</w:t>
      </w:r>
      <w:r w:rsidRPr="00F5187A">
        <w:rPr>
          <w:sz w:val="24"/>
          <w:szCs w:val="24"/>
        </w:rPr>
        <w:t>/</w:t>
      </w:r>
      <w:r w:rsidR="0024236B">
        <w:rPr>
          <w:sz w:val="24"/>
          <w:szCs w:val="24"/>
        </w:rPr>
        <w:t>DTAC</w:t>
      </w:r>
      <w:r w:rsidRPr="00F5187A">
        <w:rPr>
          <w:sz w:val="24"/>
          <w:szCs w:val="24"/>
        </w:rPr>
        <w:t>/</w:t>
      </w:r>
      <w:r w:rsidR="00595041" w:rsidRPr="00CB1D12">
        <w:rPr>
          <w:smallCaps/>
          <w:sz w:val="24"/>
          <w:szCs w:val="24"/>
        </w:rPr>
        <w:t>202</w:t>
      </w:r>
      <w:r w:rsidR="00595041">
        <w:rPr>
          <w:smallCaps/>
          <w:sz w:val="24"/>
          <w:szCs w:val="24"/>
        </w:rPr>
        <w:t>3</w:t>
      </w:r>
      <w:r w:rsidRPr="00CE60C0">
        <w:rPr>
          <w:sz w:val="24"/>
          <w:szCs w:val="24"/>
        </w:rPr>
        <w:t xml:space="preserve">, </w:t>
      </w:r>
      <w:r w:rsidR="00A6442D" w:rsidRPr="00A407C7">
        <w:rPr>
          <w:sz w:val="24"/>
          <w:szCs w:val="24"/>
        </w:rPr>
        <w:t xml:space="preserve">redatta </w:t>
      </w:r>
      <w:r w:rsidRPr="00466FEB">
        <w:rPr>
          <w:sz w:val="24"/>
          <w:szCs w:val="24"/>
        </w:rPr>
        <w:t>ai sensi del d.P.R. 445/00, sottoscritta da</w:t>
      </w:r>
      <w:r w:rsidRPr="00CB5D93">
        <w:rPr>
          <w:sz w:val="24"/>
          <w:szCs w:val="24"/>
        </w:rPr>
        <w:t>l legale rappresentante e corredata da una copia fotostatica di un suo documento di identità, attestante la veridicità dei dati trasmessi e la corrispondenza tra i valori riportati nella modulistica e i valori desumibili dalla documentazione contabile</w:t>
      </w:r>
      <w:r w:rsidRPr="00BD51D3">
        <w:rPr>
          <w:sz w:val="24"/>
          <w:szCs w:val="24"/>
        </w:rPr>
        <w:t xml:space="preserve"> di riferimento tenuta ai sensi di legge;</w:t>
      </w:r>
    </w:p>
    <w:p w14:paraId="405A20FF" w14:textId="77777777" w:rsidR="00E8013F" w:rsidRDefault="00DF1881" w:rsidP="00EE4CEA">
      <w:pPr>
        <w:pStyle w:val="Paragrafoelenco"/>
        <w:numPr>
          <w:ilvl w:val="0"/>
          <w:numId w:val="103"/>
        </w:numPr>
        <w:jc w:val="both"/>
        <w:rPr>
          <w:sz w:val="24"/>
          <w:szCs w:val="24"/>
        </w:rPr>
      </w:pPr>
      <w:r w:rsidRPr="00EE4CEA">
        <w:rPr>
          <w:sz w:val="24"/>
          <w:szCs w:val="24"/>
        </w:rPr>
        <w:t>la documentazione contabile sottostante alle attestazioni prodotte funzionale all’attività di validazione.</w:t>
      </w:r>
    </w:p>
    <w:p w14:paraId="09ED6B6C" w14:textId="61B037D0" w:rsidR="00DF1881" w:rsidRPr="00E8013F" w:rsidRDefault="00DF1881" w:rsidP="00E8013F">
      <w:r>
        <w:t xml:space="preserve">Nel caso di inerzia </w:t>
      </w:r>
      <w:r w:rsidRPr="00C70815">
        <w:t>totale o parziale</w:t>
      </w:r>
      <w:r>
        <w:t xml:space="preserve"> di uno o più gestori, l’Ente territorialmente competente dà atto delle attività compiute, dei riscontri ricevuti e dei documenti, anche parzialmente utilizzati, eventualmente acquisiti.</w:t>
      </w:r>
    </w:p>
    <w:p w14:paraId="743EC89A" w14:textId="77777777" w:rsidR="00DF1881" w:rsidRDefault="00DF1881" w:rsidP="00DF1881"/>
    <w:p w14:paraId="27A2A8E5" w14:textId="1C60AA22" w:rsidR="00DF1881" w:rsidRPr="007027AC" w:rsidRDefault="00E513EC" w:rsidP="00C0325F">
      <w:pPr>
        <w:pStyle w:val="Titolo2"/>
        <w:tabs>
          <w:tab w:val="clear" w:pos="5395"/>
        </w:tabs>
        <w:ind w:left="567"/>
      </w:pPr>
      <w:bookmarkStart w:id="22" w:name="_Toc149660932"/>
      <w:bookmarkStart w:id="23" w:name="_Toc86134945"/>
      <w:bookmarkStart w:id="24" w:name="_Toc86135034"/>
      <w:bookmarkStart w:id="25" w:name="_Toc86135629"/>
      <w:r w:rsidRPr="007027AC">
        <w:t>Altri elementi da segnalare</w:t>
      </w:r>
      <w:bookmarkEnd w:id="22"/>
      <w:r w:rsidRPr="007027AC">
        <w:t xml:space="preserve"> </w:t>
      </w:r>
      <w:bookmarkEnd w:id="23"/>
      <w:bookmarkEnd w:id="24"/>
      <w:bookmarkEnd w:id="25"/>
    </w:p>
    <w:p w14:paraId="263610DD" w14:textId="7CFAFF9B" w:rsidR="00DF1881" w:rsidRDefault="00DF1881" w:rsidP="00FA6F95">
      <w:pPr>
        <w:spacing w:before="120"/>
      </w:pPr>
      <w:r w:rsidRPr="007027AC">
        <w:t xml:space="preserve">L’Ente territorialmente competente dà altresì atto di </w:t>
      </w:r>
      <w:r w:rsidR="000E1AE7" w:rsidRPr="007027AC">
        <w:t xml:space="preserve">eventuali </w:t>
      </w:r>
      <w:r w:rsidR="00E513EC" w:rsidRPr="007027AC">
        <w:t>ulteriori elementi</w:t>
      </w:r>
      <w:r w:rsidR="000E1AE7" w:rsidRPr="007027AC">
        <w:t>, ivi comprese</w:t>
      </w:r>
      <w:r w:rsidR="00E513EC" w:rsidRPr="007027AC">
        <w:t xml:space="preserve"> </w:t>
      </w:r>
      <w:r w:rsidRPr="007027AC">
        <w:t>eventuali specificità locali</w:t>
      </w:r>
      <w:r w:rsidR="000E1AE7" w:rsidRPr="007027AC">
        <w:t>,</w:t>
      </w:r>
      <w:r w:rsidRPr="007027AC">
        <w:t xml:space="preserve"> sottes</w:t>
      </w:r>
      <w:r w:rsidR="000E1AE7" w:rsidRPr="007027AC">
        <w:t>i</w:t>
      </w:r>
      <w:r w:rsidRPr="007027AC">
        <w:t xml:space="preserve"> alle scelte in concreto adottate </w:t>
      </w:r>
      <w:r w:rsidR="000E1AE7" w:rsidRPr="007027AC">
        <w:t>nel</w:t>
      </w:r>
      <w:r w:rsidRPr="007027AC">
        <w:t>l</w:t>
      </w:r>
      <w:r w:rsidR="000E1AE7" w:rsidRPr="007027AC">
        <w:t>’ambito del</w:t>
      </w:r>
      <w:r w:rsidRPr="007027AC">
        <w:t xml:space="preserve"> procedimento di approvazione della singola predisposizione tariffaria </w:t>
      </w:r>
      <w:r w:rsidR="000E1AE7" w:rsidRPr="007027AC">
        <w:t xml:space="preserve">e che ritiene meritevoli di segnalazione </w:t>
      </w:r>
      <w:r w:rsidRPr="007027AC">
        <w:t>all’Autorità.</w:t>
      </w:r>
      <w:r w:rsidR="00E7470C" w:rsidRPr="007027AC">
        <w:t xml:space="preserve"> </w:t>
      </w:r>
    </w:p>
    <w:p w14:paraId="6B5C2588" w14:textId="77777777" w:rsidR="003E62EC" w:rsidRPr="00A8048C" w:rsidRDefault="003E62EC" w:rsidP="00DF1881"/>
    <w:p w14:paraId="710ADA6E" w14:textId="55A82BF9" w:rsidR="00B400BB" w:rsidRPr="00773DFA" w:rsidRDefault="003E62EC" w:rsidP="00EE4CEA">
      <w:pPr>
        <w:pStyle w:val="Titolo1"/>
      </w:pPr>
      <w:bookmarkStart w:id="26" w:name="_Toc86003343"/>
      <w:bookmarkStart w:id="27" w:name="_Toc86134947"/>
      <w:bookmarkStart w:id="28" w:name="_Toc86135036"/>
      <w:bookmarkStart w:id="29" w:name="_Toc86134946"/>
      <w:bookmarkStart w:id="30" w:name="_Toc86135035"/>
      <w:bookmarkStart w:id="31" w:name="_Toc86135630"/>
      <w:bookmarkStart w:id="32" w:name="_Toc149660933"/>
      <w:bookmarkEnd w:id="26"/>
      <w:bookmarkEnd w:id="27"/>
      <w:bookmarkEnd w:id="28"/>
      <w:r>
        <w:t>Descrizione dei servizi forniti (G)</w:t>
      </w:r>
      <w:bookmarkEnd w:id="29"/>
      <w:bookmarkEnd w:id="30"/>
      <w:bookmarkEnd w:id="31"/>
      <w:bookmarkEnd w:id="32"/>
    </w:p>
    <w:p w14:paraId="486A9ECE" w14:textId="77777777" w:rsidR="00896FD6" w:rsidRPr="00773DFA" w:rsidRDefault="00896FD6" w:rsidP="00C0325F">
      <w:pPr>
        <w:pStyle w:val="Titolo2"/>
        <w:tabs>
          <w:tab w:val="clear" w:pos="5395"/>
        </w:tabs>
        <w:ind w:left="567"/>
      </w:pPr>
      <w:bookmarkStart w:id="33" w:name="_Toc86134948"/>
      <w:bookmarkStart w:id="34" w:name="_Toc86135037"/>
      <w:bookmarkStart w:id="35" w:name="_Toc86135631"/>
      <w:bookmarkStart w:id="36" w:name="_Toc149660934"/>
      <w:r w:rsidRPr="00773DFA">
        <w:t>Perimetro della gestione</w:t>
      </w:r>
      <w:r w:rsidR="00664696" w:rsidRPr="00773DFA">
        <w:t xml:space="preserve">/affidamento </w:t>
      </w:r>
      <w:r w:rsidR="00517144" w:rsidRPr="00773DFA">
        <w:t>e servizi forniti</w:t>
      </w:r>
      <w:bookmarkEnd w:id="33"/>
      <w:bookmarkEnd w:id="34"/>
      <w:bookmarkEnd w:id="35"/>
      <w:bookmarkEnd w:id="36"/>
    </w:p>
    <w:p w14:paraId="2FC1E9F4" w14:textId="77777777" w:rsidR="00291640" w:rsidRPr="00291640" w:rsidRDefault="00291640" w:rsidP="008B2581">
      <w:pPr>
        <w:spacing w:after="120"/>
      </w:pPr>
      <w:r w:rsidRPr="00291640">
        <w:t>Ciascun gestore descrive i servizi forniti con riferimento a ogni ambito tariffario, avendo cura di:</w:t>
      </w:r>
    </w:p>
    <w:p w14:paraId="3D38F8DA" w14:textId="04186D93" w:rsidR="00291640" w:rsidRPr="00A20CE7" w:rsidRDefault="00291640" w:rsidP="009A18C9">
      <w:pPr>
        <w:pStyle w:val="Paragrafoelenco"/>
        <w:numPr>
          <w:ilvl w:val="1"/>
          <w:numId w:val="111"/>
        </w:numPr>
        <w:spacing w:after="120"/>
        <w:ind w:left="850" w:hanging="357"/>
        <w:contextualSpacing w:val="0"/>
        <w:jc w:val="both"/>
        <w:rPr>
          <w:sz w:val="24"/>
          <w:szCs w:val="24"/>
        </w:rPr>
      </w:pPr>
      <w:r w:rsidRPr="00A20CE7">
        <w:rPr>
          <w:sz w:val="24"/>
          <w:szCs w:val="24"/>
        </w:rPr>
        <w:t>indicare il comune/i servito/i con specificazione del titolo giuridico (contratto di servizio, gestione in economia, altro) sottostante all’affidamento e la durata dell’affidamento;</w:t>
      </w:r>
    </w:p>
    <w:p w14:paraId="4DAF9A69" w14:textId="67BD32E8" w:rsidR="00291640" w:rsidRPr="00A20CE7" w:rsidRDefault="00291640" w:rsidP="009A18C9">
      <w:pPr>
        <w:pStyle w:val="Paragrafoelenco"/>
        <w:numPr>
          <w:ilvl w:val="1"/>
          <w:numId w:val="111"/>
        </w:numPr>
        <w:spacing w:after="120"/>
        <w:ind w:left="850" w:hanging="357"/>
        <w:contextualSpacing w:val="0"/>
        <w:jc w:val="both"/>
        <w:rPr>
          <w:sz w:val="24"/>
          <w:szCs w:val="24"/>
        </w:rPr>
      </w:pPr>
      <w:r w:rsidRPr="00A20CE7">
        <w:rPr>
          <w:sz w:val="24"/>
          <w:szCs w:val="24"/>
        </w:rPr>
        <w:t xml:space="preserve">indicare e descrivere in forma sintetica le modalità di erogazione dei singoli servizi che rientrano nel perimetro gestionale, ossia: </w:t>
      </w:r>
    </w:p>
    <w:p w14:paraId="64C39877" w14:textId="3B84863F" w:rsidR="00291640" w:rsidRPr="00A20CE7" w:rsidRDefault="00291640" w:rsidP="001F1179">
      <w:pPr>
        <w:pStyle w:val="Paragrafoelenco"/>
        <w:numPr>
          <w:ilvl w:val="0"/>
          <w:numId w:val="112"/>
        </w:numPr>
        <w:spacing w:after="120"/>
        <w:ind w:hanging="357"/>
        <w:contextualSpacing w:val="0"/>
        <w:jc w:val="both"/>
        <w:rPr>
          <w:sz w:val="24"/>
          <w:szCs w:val="24"/>
        </w:rPr>
      </w:pPr>
      <w:r w:rsidRPr="00A20CE7">
        <w:rPr>
          <w:sz w:val="24"/>
          <w:szCs w:val="24"/>
          <w:u w:val="single"/>
        </w:rPr>
        <w:t>spazzamento e lavaggio strade</w:t>
      </w:r>
      <w:r w:rsidR="008B2581">
        <w:rPr>
          <w:sz w:val="24"/>
          <w:szCs w:val="24"/>
        </w:rPr>
        <w:t>, specificando in particolare:</w:t>
      </w:r>
    </w:p>
    <w:p w14:paraId="4F1313E7" w14:textId="4FC176CF" w:rsidR="008B2581" w:rsidRDefault="008B2581" w:rsidP="008B2581">
      <w:pPr>
        <w:pStyle w:val="Paragrafoelenco"/>
        <w:numPr>
          <w:ilvl w:val="1"/>
          <w:numId w:val="112"/>
        </w:numPr>
        <w:jc w:val="both"/>
        <w:rPr>
          <w:sz w:val="24"/>
          <w:szCs w:val="24"/>
        </w:rPr>
      </w:pPr>
      <w:r w:rsidRPr="008B2581">
        <w:rPr>
          <w:sz w:val="24"/>
          <w:szCs w:val="24"/>
        </w:rPr>
        <w:t>se trattasi di spazzamento meccanizzato, manuale o misto;</w:t>
      </w:r>
    </w:p>
    <w:p w14:paraId="144A7949" w14:textId="77777777" w:rsidR="008B2581" w:rsidRPr="008B2581" w:rsidRDefault="008B2581" w:rsidP="008B2581">
      <w:pPr>
        <w:pStyle w:val="Paragrafoelenco"/>
        <w:numPr>
          <w:ilvl w:val="1"/>
          <w:numId w:val="112"/>
        </w:numPr>
        <w:jc w:val="both"/>
        <w:rPr>
          <w:sz w:val="24"/>
          <w:szCs w:val="24"/>
        </w:rPr>
      </w:pPr>
      <w:r w:rsidRPr="008B2581">
        <w:rPr>
          <w:sz w:val="24"/>
          <w:szCs w:val="24"/>
        </w:rPr>
        <w:t>se è compresa o meno l’attività di lavaggio strade e suolo pubblico e/o di svuotamento cestini e/o raccolta foglie;</w:t>
      </w:r>
    </w:p>
    <w:p w14:paraId="5F65CC9C" w14:textId="3830517B" w:rsidR="00291640" w:rsidRPr="00222771" w:rsidRDefault="00291640" w:rsidP="00222771">
      <w:pPr>
        <w:pStyle w:val="Paragrafoelenco"/>
        <w:numPr>
          <w:ilvl w:val="1"/>
          <w:numId w:val="112"/>
        </w:numPr>
        <w:jc w:val="both"/>
        <w:rPr>
          <w:sz w:val="24"/>
          <w:szCs w:val="24"/>
        </w:rPr>
      </w:pPr>
      <w:r w:rsidRPr="008B2581">
        <w:rPr>
          <w:sz w:val="24"/>
          <w:szCs w:val="24"/>
        </w:rPr>
        <w:t>se è compres</w:t>
      </w:r>
      <w:r w:rsidR="001B2546">
        <w:rPr>
          <w:sz w:val="24"/>
          <w:szCs w:val="24"/>
        </w:rPr>
        <w:t>a</w:t>
      </w:r>
      <w:r w:rsidRPr="008B2581">
        <w:rPr>
          <w:sz w:val="24"/>
          <w:szCs w:val="24"/>
        </w:rPr>
        <w:t xml:space="preserve"> o meno la raccolta di rifiuti abbandonati e/o la raccolta ed il trasporto dei rifiuti da esumazioni ed estumulazioni, nonché degli altri rifiuti provenienti da attività cimiteriale e/o la raccolta dei rifiuti vegetali provenienti da aree verdi</w:t>
      </w:r>
      <w:r w:rsidR="001F1179">
        <w:rPr>
          <w:sz w:val="24"/>
          <w:szCs w:val="24"/>
        </w:rPr>
        <w:t>;</w:t>
      </w:r>
    </w:p>
    <w:p w14:paraId="5F6768B8" w14:textId="1560CD1C" w:rsidR="00291640" w:rsidRPr="00222771" w:rsidRDefault="00291640" w:rsidP="00222771">
      <w:pPr>
        <w:pStyle w:val="Paragrafoelenco"/>
        <w:numPr>
          <w:ilvl w:val="0"/>
          <w:numId w:val="112"/>
        </w:numPr>
        <w:spacing w:before="120" w:after="120"/>
        <w:ind w:hanging="357"/>
        <w:rPr>
          <w:sz w:val="24"/>
          <w:szCs w:val="24"/>
          <w:u w:val="single"/>
        </w:rPr>
      </w:pPr>
      <w:r w:rsidRPr="00222771">
        <w:rPr>
          <w:sz w:val="24"/>
          <w:szCs w:val="24"/>
          <w:u w:val="single"/>
        </w:rPr>
        <w:t>raccolta e trasporto</w:t>
      </w:r>
      <w:r w:rsidR="00222771">
        <w:rPr>
          <w:sz w:val="24"/>
          <w:szCs w:val="24"/>
        </w:rPr>
        <w:t>, specificando in particolare:</w:t>
      </w:r>
    </w:p>
    <w:p w14:paraId="5069B429" w14:textId="6CE1F0E1" w:rsidR="00291640" w:rsidRPr="00860344" w:rsidRDefault="00291640" w:rsidP="00860344">
      <w:pPr>
        <w:pStyle w:val="Paragrafoelenco"/>
        <w:numPr>
          <w:ilvl w:val="1"/>
          <w:numId w:val="112"/>
        </w:numPr>
        <w:jc w:val="both"/>
        <w:rPr>
          <w:sz w:val="24"/>
          <w:szCs w:val="24"/>
        </w:rPr>
      </w:pPr>
      <w:r w:rsidRPr="00860344">
        <w:rPr>
          <w:sz w:val="24"/>
          <w:szCs w:val="24"/>
        </w:rPr>
        <w:t>il modello di raccolta (domiciliare, di prossimità o stradale) e le frequenze di raccolta, sia dei rifiuti urbani indifferenziati che dei flussi delle raccolte differenziate;</w:t>
      </w:r>
    </w:p>
    <w:p w14:paraId="4553E08B" w14:textId="36931F01" w:rsidR="00D37690" w:rsidRDefault="00291640" w:rsidP="00860344">
      <w:pPr>
        <w:pStyle w:val="Paragrafoelenco"/>
        <w:numPr>
          <w:ilvl w:val="1"/>
          <w:numId w:val="112"/>
        </w:numPr>
        <w:jc w:val="both"/>
        <w:rPr>
          <w:sz w:val="24"/>
          <w:szCs w:val="24"/>
        </w:rPr>
      </w:pPr>
      <w:r w:rsidRPr="00D37690">
        <w:rPr>
          <w:sz w:val="24"/>
          <w:szCs w:val="24"/>
        </w:rPr>
        <w:t>se è compresa o meno la gestione di isole ecologiche (anche mobili) e delle aree di transfer;</w:t>
      </w:r>
    </w:p>
    <w:p w14:paraId="30F06478" w14:textId="5F46C0F9" w:rsidR="00D37690" w:rsidRDefault="00D37690" w:rsidP="00860344">
      <w:pPr>
        <w:pStyle w:val="Paragrafoelenco"/>
        <w:numPr>
          <w:ilvl w:val="1"/>
          <w:numId w:val="112"/>
        </w:numPr>
        <w:jc w:val="both"/>
        <w:rPr>
          <w:sz w:val="24"/>
          <w:szCs w:val="24"/>
        </w:rPr>
      </w:pPr>
      <w:r w:rsidRPr="00D37690">
        <w:rPr>
          <w:sz w:val="24"/>
          <w:szCs w:val="24"/>
        </w:rPr>
        <w:t xml:space="preserve">se è compreso o meno il lavaggio e la sanificazione dei contenitori per </w:t>
      </w:r>
      <w:r w:rsidR="001B2546">
        <w:rPr>
          <w:sz w:val="24"/>
          <w:szCs w:val="24"/>
        </w:rPr>
        <w:t xml:space="preserve">la </w:t>
      </w:r>
      <w:r w:rsidRPr="00D37690">
        <w:rPr>
          <w:sz w:val="24"/>
          <w:szCs w:val="24"/>
        </w:rPr>
        <w:t>raccolta dei rifiuti indifferenziati e/o delle frazioni differenziate</w:t>
      </w:r>
      <w:r w:rsidR="0022075D">
        <w:rPr>
          <w:sz w:val="24"/>
          <w:szCs w:val="24"/>
        </w:rPr>
        <w:t xml:space="preserve"> (anche con la </w:t>
      </w:r>
      <w:r w:rsidR="0022075D">
        <w:rPr>
          <w:sz w:val="24"/>
          <w:szCs w:val="24"/>
        </w:rPr>
        <w:lastRenderedPageBreak/>
        <w:t>finalità di migliorare la qualità dei rifiuti in ingresso agli impianti di trattamento)</w:t>
      </w:r>
      <w:r w:rsidRPr="00D37690">
        <w:rPr>
          <w:sz w:val="24"/>
          <w:szCs w:val="24"/>
        </w:rPr>
        <w:t>;</w:t>
      </w:r>
    </w:p>
    <w:p w14:paraId="5C3C2AB7" w14:textId="03F752A3" w:rsidR="00D37690" w:rsidRPr="00860344" w:rsidRDefault="0054000D" w:rsidP="00860344">
      <w:pPr>
        <w:pStyle w:val="Paragrafoelenco"/>
        <w:numPr>
          <w:ilvl w:val="1"/>
          <w:numId w:val="112"/>
        </w:numPr>
        <w:jc w:val="both"/>
        <w:rPr>
          <w:sz w:val="24"/>
          <w:szCs w:val="24"/>
        </w:rPr>
      </w:pPr>
      <w:r>
        <w:rPr>
          <w:sz w:val="24"/>
          <w:szCs w:val="24"/>
        </w:rPr>
        <w:t>se sono comprese o meno le attività</w:t>
      </w:r>
      <w:r w:rsidRPr="00D37690">
        <w:rPr>
          <w:sz w:val="24"/>
          <w:szCs w:val="24"/>
        </w:rPr>
        <w:t xml:space="preserve"> </w:t>
      </w:r>
      <w:r w:rsidR="00235D13">
        <w:rPr>
          <w:sz w:val="24"/>
          <w:szCs w:val="24"/>
        </w:rPr>
        <w:t xml:space="preserve">di messa in riserva dei rifiuti, deposito temporaneo prima della raccolta </w:t>
      </w:r>
      <w:r w:rsidR="004C3478">
        <w:rPr>
          <w:sz w:val="24"/>
          <w:szCs w:val="24"/>
        </w:rPr>
        <w:t>ai fini del</w:t>
      </w:r>
      <w:r w:rsidR="00235D13">
        <w:rPr>
          <w:sz w:val="24"/>
          <w:szCs w:val="24"/>
        </w:rPr>
        <w:t xml:space="preserve"> trasporto </w:t>
      </w:r>
      <w:r w:rsidR="004C3478">
        <w:rPr>
          <w:sz w:val="24"/>
          <w:szCs w:val="24"/>
        </w:rPr>
        <w:t>in un impianto di recupero</w:t>
      </w:r>
      <w:r w:rsidR="005B4259">
        <w:rPr>
          <w:sz w:val="24"/>
          <w:szCs w:val="24"/>
        </w:rPr>
        <w:t xml:space="preserve">, </w:t>
      </w:r>
      <w:r w:rsidR="00DB16DA">
        <w:rPr>
          <w:sz w:val="24"/>
          <w:szCs w:val="24"/>
        </w:rPr>
        <w:t xml:space="preserve">nonché le attività di pretrattamento finalizzate a ottenere </w:t>
      </w:r>
      <w:r w:rsidR="004F2BD3">
        <w:rPr>
          <w:sz w:val="24"/>
          <w:szCs w:val="24"/>
        </w:rPr>
        <w:t xml:space="preserve">flussi di rifiuti monomateriale attraverso la separazione delle diverse frazioni </w:t>
      </w:r>
      <w:r w:rsidR="00ED16F2">
        <w:rPr>
          <w:sz w:val="24"/>
          <w:szCs w:val="24"/>
        </w:rPr>
        <w:t>raccolte con modalità multimateriale,</w:t>
      </w:r>
      <w:r w:rsidR="000A758A">
        <w:rPr>
          <w:sz w:val="24"/>
          <w:szCs w:val="24"/>
        </w:rPr>
        <w:t xml:space="preserve"> </w:t>
      </w:r>
      <w:r w:rsidR="00783D4E">
        <w:rPr>
          <w:sz w:val="24"/>
          <w:szCs w:val="24"/>
        </w:rPr>
        <w:t>e/</w:t>
      </w:r>
      <w:r w:rsidR="000A758A">
        <w:rPr>
          <w:sz w:val="24"/>
          <w:szCs w:val="24"/>
        </w:rPr>
        <w:t xml:space="preserve">o </w:t>
      </w:r>
      <w:r w:rsidR="000A758A" w:rsidRPr="000A758A">
        <w:rPr>
          <w:sz w:val="24"/>
          <w:szCs w:val="24"/>
        </w:rPr>
        <w:t xml:space="preserve">ridurre il volume dei rifiuti </w:t>
      </w:r>
      <w:r w:rsidR="00783D4E">
        <w:rPr>
          <w:sz w:val="24"/>
          <w:szCs w:val="24"/>
        </w:rPr>
        <w:t>al fine di</w:t>
      </w:r>
      <w:r w:rsidR="000A758A" w:rsidRPr="000A758A">
        <w:rPr>
          <w:sz w:val="24"/>
          <w:szCs w:val="24"/>
        </w:rPr>
        <w:t xml:space="preserve"> ottimizzare il trasporto verso gli impianti di trattamento, attraverso operazioni di pressatura, schiacciamento o compattazione </w:t>
      </w:r>
      <w:r w:rsidR="00546EC6">
        <w:rPr>
          <w:sz w:val="24"/>
          <w:szCs w:val="24"/>
        </w:rPr>
        <w:t>(</w:t>
      </w:r>
      <w:r w:rsidR="000A758A" w:rsidRPr="000A758A">
        <w:rPr>
          <w:sz w:val="24"/>
          <w:szCs w:val="24"/>
        </w:rPr>
        <w:t>sia nel caso di raccolta multimateriale che nel caso di raccolta monomateriale</w:t>
      </w:r>
      <w:r w:rsidR="00546EC6">
        <w:rPr>
          <w:sz w:val="24"/>
          <w:szCs w:val="24"/>
        </w:rPr>
        <w:t>)</w:t>
      </w:r>
      <w:r w:rsidR="008C1A59">
        <w:rPr>
          <w:sz w:val="24"/>
          <w:szCs w:val="24"/>
        </w:rPr>
        <w:t xml:space="preserve">, </w:t>
      </w:r>
      <w:r w:rsidR="00053467">
        <w:rPr>
          <w:sz w:val="24"/>
          <w:szCs w:val="24"/>
        </w:rPr>
        <w:t xml:space="preserve">tenendo conto di quanto </w:t>
      </w:r>
      <w:r w:rsidR="006D0CD4">
        <w:rPr>
          <w:sz w:val="24"/>
          <w:szCs w:val="24"/>
        </w:rPr>
        <w:t xml:space="preserve">esplicitato </w:t>
      </w:r>
      <w:r w:rsidR="003232CE">
        <w:rPr>
          <w:sz w:val="24"/>
          <w:szCs w:val="24"/>
        </w:rPr>
        <w:t xml:space="preserve">all’articolo 2 della deliberazione </w:t>
      </w:r>
      <w:r w:rsidR="00E10C22">
        <w:rPr>
          <w:sz w:val="24"/>
          <w:szCs w:val="24"/>
        </w:rPr>
        <w:t>389/2023/R/</w:t>
      </w:r>
      <w:r w:rsidR="00E10C22" w:rsidRPr="00E10C22">
        <w:rPr>
          <w:smallCaps/>
          <w:sz w:val="24"/>
          <w:szCs w:val="24"/>
        </w:rPr>
        <w:t>rif</w:t>
      </w:r>
      <w:r w:rsidR="00D37690" w:rsidRPr="00D37690">
        <w:rPr>
          <w:sz w:val="24"/>
          <w:szCs w:val="24"/>
        </w:rPr>
        <w:t>;</w:t>
      </w:r>
    </w:p>
    <w:p w14:paraId="10BFF8A9" w14:textId="7AB7F178" w:rsidR="00E97659" w:rsidRPr="00546EC6" w:rsidRDefault="00291640" w:rsidP="00546EC6">
      <w:pPr>
        <w:pStyle w:val="Paragrafoelenco"/>
        <w:numPr>
          <w:ilvl w:val="1"/>
          <w:numId w:val="112"/>
        </w:numPr>
        <w:jc w:val="both"/>
        <w:rPr>
          <w:sz w:val="24"/>
          <w:szCs w:val="24"/>
        </w:rPr>
      </w:pPr>
      <w:r w:rsidRPr="00E95804">
        <w:rPr>
          <w:sz w:val="24"/>
          <w:szCs w:val="24"/>
        </w:rPr>
        <w:t>se è compresa o meno l’attività di raccolta e gestione dei dati relativi al conferimento dei rifiuti indifferenziati e/o delle frazioni differenziate da parte degli utenti e del successivo conferimento agli impianti di trattamento e di smaltimento</w:t>
      </w:r>
      <w:r w:rsidR="001C4415">
        <w:rPr>
          <w:sz w:val="24"/>
          <w:szCs w:val="24"/>
        </w:rPr>
        <w:t>;</w:t>
      </w:r>
      <w:r w:rsidR="005F5FD5" w:rsidRPr="00546EC6">
        <w:t xml:space="preserve"> </w:t>
      </w:r>
    </w:p>
    <w:p w14:paraId="2E3C30F2" w14:textId="30B2B48D" w:rsidR="008B03C9" w:rsidRPr="008B03C9" w:rsidRDefault="008B03C9" w:rsidP="008B03C9">
      <w:pPr>
        <w:pStyle w:val="Paragrafoelenco"/>
        <w:numPr>
          <w:ilvl w:val="0"/>
          <w:numId w:val="112"/>
        </w:numPr>
        <w:jc w:val="both"/>
        <w:rPr>
          <w:sz w:val="24"/>
          <w:szCs w:val="24"/>
          <w:u w:val="single"/>
        </w:rPr>
      </w:pPr>
      <w:r w:rsidRPr="008B03C9">
        <w:rPr>
          <w:sz w:val="24"/>
          <w:szCs w:val="24"/>
          <w:u w:val="single"/>
        </w:rPr>
        <w:t>gestione tariffe e rapport</w:t>
      </w:r>
      <w:r w:rsidR="00EB1368">
        <w:rPr>
          <w:sz w:val="24"/>
          <w:szCs w:val="24"/>
          <w:u w:val="single"/>
        </w:rPr>
        <w:t>o</w:t>
      </w:r>
      <w:r w:rsidRPr="008B03C9">
        <w:rPr>
          <w:sz w:val="24"/>
          <w:szCs w:val="24"/>
          <w:u w:val="single"/>
        </w:rPr>
        <w:t xml:space="preserve"> con gli utenti</w:t>
      </w:r>
      <w:r w:rsidR="00DF76C9">
        <w:rPr>
          <w:sz w:val="24"/>
          <w:szCs w:val="24"/>
        </w:rPr>
        <w:t>, specificando in particolare</w:t>
      </w:r>
      <w:r w:rsidR="004D42B8" w:rsidRPr="004D42B8">
        <w:rPr>
          <w:sz w:val="24"/>
          <w:szCs w:val="24"/>
        </w:rPr>
        <w:t xml:space="preserve"> </w:t>
      </w:r>
      <w:r w:rsidR="004D42B8" w:rsidRPr="00DF76C9">
        <w:rPr>
          <w:sz w:val="24"/>
          <w:szCs w:val="24"/>
        </w:rPr>
        <w:t>se è compresa</w:t>
      </w:r>
      <w:r w:rsidR="00817B3C">
        <w:rPr>
          <w:sz w:val="24"/>
          <w:szCs w:val="24"/>
        </w:rPr>
        <w:t>/prevista</w:t>
      </w:r>
      <w:r w:rsidR="00DF76C9">
        <w:rPr>
          <w:sz w:val="24"/>
          <w:szCs w:val="24"/>
        </w:rPr>
        <w:t>:</w:t>
      </w:r>
    </w:p>
    <w:p w14:paraId="70130672" w14:textId="52C54908" w:rsidR="00DF76C9" w:rsidRDefault="00DF76C9" w:rsidP="00DF76C9">
      <w:pPr>
        <w:pStyle w:val="Paragrafoelenco"/>
        <w:numPr>
          <w:ilvl w:val="1"/>
          <w:numId w:val="112"/>
        </w:numPr>
        <w:jc w:val="both"/>
        <w:rPr>
          <w:sz w:val="24"/>
          <w:szCs w:val="24"/>
        </w:rPr>
      </w:pPr>
      <w:r w:rsidRPr="00DF76C9">
        <w:rPr>
          <w:sz w:val="24"/>
          <w:szCs w:val="24"/>
        </w:rPr>
        <w:t>l’attività di accertamento e riscossione (incluse le attività di bollettazione e l'invio degli avvisi di pagamento);</w:t>
      </w:r>
    </w:p>
    <w:p w14:paraId="049D1318" w14:textId="758FA081" w:rsidR="00DF76C9" w:rsidRDefault="00DF76C9" w:rsidP="00DF76C9">
      <w:pPr>
        <w:pStyle w:val="Paragrafoelenco"/>
        <w:numPr>
          <w:ilvl w:val="1"/>
          <w:numId w:val="112"/>
        </w:numPr>
        <w:jc w:val="both"/>
        <w:rPr>
          <w:sz w:val="24"/>
          <w:szCs w:val="24"/>
        </w:rPr>
      </w:pPr>
      <w:r w:rsidRPr="00DF76C9">
        <w:rPr>
          <w:sz w:val="24"/>
          <w:szCs w:val="24"/>
        </w:rPr>
        <w:t>la gestione del rapporto con gli utenti (inclusa la gestione reclami) anche mediante sportelli dedicati o call-center;</w:t>
      </w:r>
    </w:p>
    <w:p w14:paraId="3FBA61E5" w14:textId="220D6495" w:rsidR="00DF76C9" w:rsidRDefault="00291640" w:rsidP="00DF76C9">
      <w:pPr>
        <w:pStyle w:val="Paragrafoelenco"/>
        <w:numPr>
          <w:ilvl w:val="1"/>
          <w:numId w:val="112"/>
        </w:numPr>
        <w:jc w:val="both"/>
        <w:rPr>
          <w:sz w:val="24"/>
          <w:szCs w:val="24"/>
        </w:rPr>
      </w:pPr>
      <w:r w:rsidRPr="00DF76C9">
        <w:rPr>
          <w:sz w:val="24"/>
          <w:szCs w:val="24"/>
        </w:rPr>
        <w:t>la gestione della banca dati degli utenti e delle utenze, dei crediti e del contenzioso;</w:t>
      </w:r>
    </w:p>
    <w:p w14:paraId="044CDA00" w14:textId="76D87B5F" w:rsidR="00DF76C9" w:rsidRPr="00DF76C9" w:rsidRDefault="00DF76C9" w:rsidP="00DF76C9">
      <w:pPr>
        <w:pStyle w:val="Paragrafoelenco"/>
        <w:numPr>
          <w:ilvl w:val="1"/>
          <w:numId w:val="112"/>
        </w:numPr>
        <w:jc w:val="both"/>
        <w:rPr>
          <w:sz w:val="24"/>
          <w:szCs w:val="24"/>
        </w:rPr>
      </w:pPr>
      <w:r w:rsidRPr="00DF76C9">
        <w:rPr>
          <w:sz w:val="24"/>
          <w:szCs w:val="24"/>
        </w:rPr>
        <w:t>l’effettuazione di campagne informative e di educazione ambientale;</w:t>
      </w:r>
    </w:p>
    <w:p w14:paraId="6D2CC381" w14:textId="6A01E425" w:rsidR="000456CE" w:rsidRPr="00DF76C9" w:rsidRDefault="000456CE" w:rsidP="00DF76C9">
      <w:pPr>
        <w:pStyle w:val="Paragrafoelenco"/>
        <w:numPr>
          <w:ilvl w:val="1"/>
          <w:numId w:val="112"/>
        </w:numPr>
        <w:jc w:val="both"/>
        <w:rPr>
          <w:sz w:val="24"/>
          <w:szCs w:val="24"/>
        </w:rPr>
      </w:pPr>
      <w:r w:rsidRPr="000456CE">
        <w:rPr>
          <w:sz w:val="24"/>
          <w:szCs w:val="24"/>
        </w:rPr>
        <w:t>l’implementazione di misure di prevenzione della produzione di rifiuti urbani</w:t>
      </w:r>
      <w:r w:rsidR="001637FC">
        <w:rPr>
          <w:sz w:val="24"/>
          <w:szCs w:val="24"/>
        </w:rPr>
        <w:t>;</w:t>
      </w:r>
    </w:p>
    <w:p w14:paraId="793CE94A" w14:textId="438579CD" w:rsidR="00291640" w:rsidRPr="00326406" w:rsidRDefault="00291640" w:rsidP="00326406">
      <w:pPr>
        <w:pStyle w:val="Paragrafoelenco"/>
        <w:numPr>
          <w:ilvl w:val="0"/>
          <w:numId w:val="112"/>
        </w:numPr>
        <w:jc w:val="both"/>
        <w:rPr>
          <w:sz w:val="24"/>
          <w:szCs w:val="24"/>
        </w:rPr>
      </w:pPr>
      <w:r w:rsidRPr="00D3617A">
        <w:rPr>
          <w:sz w:val="24"/>
          <w:szCs w:val="24"/>
          <w:u w:val="single"/>
        </w:rPr>
        <w:t>trattamento e recupero</w:t>
      </w:r>
      <w:r w:rsidR="00D05B9D">
        <w:rPr>
          <w:sz w:val="24"/>
          <w:szCs w:val="24"/>
        </w:rPr>
        <w:t>, i</w:t>
      </w:r>
      <w:r w:rsidR="00D05B9D" w:rsidRPr="00D05B9D">
        <w:rPr>
          <w:sz w:val="24"/>
          <w:szCs w:val="24"/>
        </w:rPr>
        <w:t>ndica</w:t>
      </w:r>
      <w:r w:rsidR="00D05B9D">
        <w:rPr>
          <w:sz w:val="24"/>
          <w:szCs w:val="24"/>
        </w:rPr>
        <w:t>ndo</w:t>
      </w:r>
      <w:r w:rsidR="00D05B9D" w:rsidRPr="00D05B9D">
        <w:rPr>
          <w:sz w:val="24"/>
          <w:szCs w:val="24"/>
        </w:rPr>
        <w:t xml:space="preserve"> le attività di avvio a recupero e/o recupero effettuate relativamente a ciascuna frazione raccolta in maniera differenziata</w:t>
      </w:r>
      <w:r w:rsidR="00857C03">
        <w:rPr>
          <w:sz w:val="24"/>
          <w:szCs w:val="24"/>
        </w:rPr>
        <w:t xml:space="preserve"> o indifferenziata</w:t>
      </w:r>
      <w:r w:rsidR="00F47521">
        <w:rPr>
          <w:sz w:val="24"/>
          <w:szCs w:val="24"/>
        </w:rPr>
        <w:t xml:space="preserve"> nonché, r</w:t>
      </w:r>
      <w:r w:rsidRPr="00F47521">
        <w:rPr>
          <w:sz w:val="24"/>
          <w:szCs w:val="24"/>
        </w:rPr>
        <w:t>elativamente agli impianti utilizzati, specifica</w:t>
      </w:r>
      <w:r w:rsidR="00F47521">
        <w:rPr>
          <w:sz w:val="24"/>
          <w:szCs w:val="24"/>
        </w:rPr>
        <w:t>ndo</w:t>
      </w:r>
      <w:r w:rsidRPr="00F47521">
        <w:rPr>
          <w:sz w:val="24"/>
          <w:szCs w:val="24"/>
        </w:rPr>
        <w:t xml:space="preserve"> se si tratta di impianti </w:t>
      </w:r>
      <w:r w:rsidR="000F7D0C">
        <w:rPr>
          <w:sz w:val="24"/>
          <w:szCs w:val="24"/>
        </w:rPr>
        <w:t xml:space="preserve">di proprietà </w:t>
      </w:r>
      <w:r w:rsidRPr="00F47521">
        <w:rPr>
          <w:sz w:val="24"/>
          <w:szCs w:val="24"/>
        </w:rPr>
        <w:t>o di soggetti terzi</w:t>
      </w:r>
      <w:r w:rsidR="00707BBB">
        <w:rPr>
          <w:sz w:val="24"/>
          <w:szCs w:val="24"/>
        </w:rPr>
        <w:t>;</w:t>
      </w:r>
      <w:r w:rsidRPr="00F47521">
        <w:rPr>
          <w:sz w:val="24"/>
          <w:szCs w:val="24"/>
        </w:rPr>
        <w:t xml:space="preserve"> </w:t>
      </w:r>
    </w:p>
    <w:p w14:paraId="06E4403A" w14:textId="6574979B" w:rsidR="00291640" w:rsidRPr="00CB1D12" w:rsidRDefault="00291640" w:rsidP="00CB1D12">
      <w:pPr>
        <w:pStyle w:val="Paragrafoelenco"/>
        <w:numPr>
          <w:ilvl w:val="0"/>
          <w:numId w:val="112"/>
        </w:numPr>
        <w:jc w:val="both"/>
        <w:rPr>
          <w:sz w:val="24"/>
          <w:szCs w:val="24"/>
        </w:rPr>
      </w:pPr>
      <w:r w:rsidRPr="00CB1D12">
        <w:rPr>
          <w:sz w:val="24"/>
          <w:szCs w:val="24"/>
          <w:u w:val="single"/>
        </w:rPr>
        <w:t>trattamento e smaltimento</w:t>
      </w:r>
      <w:r w:rsidR="00CB1D12" w:rsidRPr="00CB1D12">
        <w:rPr>
          <w:sz w:val="24"/>
          <w:szCs w:val="24"/>
        </w:rPr>
        <w:t>, indicando</w:t>
      </w:r>
      <w:r w:rsidRPr="00CB1D12">
        <w:rPr>
          <w:sz w:val="24"/>
          <w:szCs w:val="24"/>
        </w:rPr>
        <w:t xml:space="preserve"> le attività di pretrattamento</w:t>
      </w:r>
      <w:r w:rsidR="007D607B">
        <w:rPr>
          <w:sz w:val="24"/>
          <w:szCs w:val="24"/>
        </w:rPr>
        <w:t xml:space="preserve"> (della frazione indifferenziata)</w:t>
      </w:r>
      <w:r w:rsidRPr="00CB1D12">
        <w:rPr>
          <w:sz w:val="24"/>
          <w:szCs w:val="24"/>
        </w:rPr>
        <w:t xml:space="preserve"> e/o di smaltimento effettuate, specificando la tipologia di impianto utilizzato (</w:t>
      </w:r>
      <w:r w:rsidR="001C399F">
        <w:rPr>
          <w:sz w:val="24"/>
          <w:szCs w:val="24"/>
        </w:rPr>
        <w:t>impianto di trattamento meccanico</w:t>
      </w:r>
      <w:r w:rsidR="009E541C">
        <w:rPr>
          <w:sz w:val="24"/>
          <w:szCs w:val="24"/>
        </w:rPr>
        <w:t xml:space="preserve">-biologico, </w:t>
      </w:r>
      <w:r w:rsidRPr="00CB1D12">
        <w:rPr>
          <w:sz w:val="24"/>
          <w:szCs w:val="24"/>
        </w:rPr>
        <w:t xml:space="preserve">discarica o incenerimento senza recupero energetico) e se si tratta di impianti </w:t>
      </w:r>
      <w:r w:rsidR="008F71A6">
        <w:rPr>
          <w:sz w:val="24"/>
          <w:szCs w:val="24"/>
        </w:rPr>
        <w:t xml:space="preserve">di proprietà </w:t>
      </w:r>
      <w:r w:rsidRPr="00CB1D12">
        <w:rPr>
          <w:sz w:val="24"/>
          <w:szCs w:val="24"/>
        </w:rPr>
        <w:t>o di soggetti terzi</w:t>
      </w:r>
      <w:r w:rsidR="00E11CDF">
        <w:rPr>
          <w:sz w:val="24"/>
          <w:szCs w:val="24"/>
        </w:rPr>
        <w:t>;</w:t>
      </w:r>
    </w:p>
    <w:p w14:paraId="4C0CF6D5" w14:textId="7CBB9BD2" w:rsidR="00291640" w:rsidRPr="000D6AF0" w:rsidRDefault="00291640" w:rsidP="000D6AF0">
      <w:pPr>
        <w:pStyle w:val="Paragrafoelenco"/>
        <w:numPr>
          <w:ilvl w:val="1"/>
          <w:numId w:val="111"/>
        </w:numPr>
        <w:spacing w:after="120"/>
        <w:ind w:left="850" w:hanging="357"/>
        <w:contextualSpacing w:val="0"/>
        <w:jc w:val="both"/>
        <w:rPr>
          <w:sz w:val="24"/>
          <w:szCs w:val="24"/>
        </w:rPr>
      </w:pPr>
      <w:r w:rsidRPr="000D6AF0">
        <w:rPr>
          <w:sz w:val="24"/>
          <w:szCs w:val="24"/>
        </w:rPr>
        <w:t>indicare e descrivere le eventuali attività esterne al perimetro gestionale del servizio di gestione integrata dei rifiuti urbani, e dando separata evidenza ai relativi costi e ricavi. In caso di erogazione del servizio di micro</w:t>
      </w:r>
      <w:r w:rsidR="00EE4CEA" w:rsidRPr="000D6AF0">
        <w:rPr>
          <w:sz w:val="24"/>
          <w:szCs w:val="24"/>
        </w:rPr>
        <w:t>-</w:t>
      </w:r>
      <w:r w:rsidRPr="000D6AF0">
        <w:rPr>
          <w:sz w:val="24"/>
          <w:szCs w:val="24"/>
        </w:rPr>
        <w:t>raccolta dell’amianto da utenze domestiche, il gestore provvede a precisare se tale attività, ai fini tariffari, è da considerarsi tra le attività interne od esterne al perimetro del servizio di gestione integrata dei rifiuti urbani</w:t>
      </w:r>
      <w:r w:rsidRPr="00FC13C2">
        <w:rPr>
          <w:sz w:val="24"/>
          <w:szCs w:val="24"/>
          <w:vertAlign w:val="superscript"/>
        </w:rPr>
        <w:footnoteReference w:id="3"/>
      </w:r>
      <w:r w:rsidRPr="000D6AF0">
        <w:rPr>
          <w:sz w:val="24"/>
          <w:szCs w:val="24"/>
        </w:rPr>
        <w:t>.</w:t>
      </w:r>
    </w:p>
    <w:p w14:paraId="2A9A40E6" w14:textId="77777777" w:rsidR="00291640" w:rsidRPr="00773DFA" w:rsidRDefault="00291640" w:rsidP="00F71EFD"/>
    <w:p w14:paraId="60C0D07F" w14:textId="5DC4D2F6" w:rsidR="00896FD6" w:rsidRPr="00773DFA" w:rsidRDefault="00131398" w:rsidP="00131398">
      <w:r w:rsidRPr="00773DFA">
        <w:t>Occorrerà i</w:t>
      </w:r>
      <w:r w:rsidR="00896FD6" w:rsidRPr="00773DFA">
        <w:t>ndicare</w:t>
      </w:r>
      <w:r w:rsidRPr="00773DFA">
        <w:t>, inoltre,</w:t>
      </w:r>
      <w:r w:rsidR="00896FD6" w:rsidRPr="00773DFA">
        <w:t xml:space="preserve"> l’eventuale cessazione o acquisizione di </w:t>
      </w:r>
      <w:r w:rsidR="00664696" w:rsidRPr="00773DFA">
        <w:t xml:space="preserve">comuni </w:t>
      </w:r>
      <w:r w:rsidR="00896FD6" w:rsidRPr="00773DFA">
        <w:t>servit</w:t>
      </w:r>
      <w:r w:rsidR="00664696" w:rsidRPr="00773DFA">
        <w:t>i</w:t>
      </w:r>
      <w:r w:rsidR="00896FD6" w:rsidRPr="00773DFA">
        <w:t>, servizi forniti o attività</w:t>
      </w:r>
      <w:r w:rsidR="00F21028" w:rsidRPr="00773DFA">
        <w:t xml:space="preserve"> avvenuta a partire dal </w:t>
      </w:r>
      <w:r w:rsidR="00291640">
        <w:t>202</w:t>
      </w:r>
      <w:r w:rsidR="005C52F3">
        <w:t>2</w:t>
      </w:r>
      <w:r w:rsidRPr="00773DFA">
        <w:t xml:space="preserve">, nonché </w:t>
      </w:r>
      <w:r w:rsidR="00896FD6" w:rsidRPr="00773DFA">
        <w:t>le date delle modifiche</w:t>
      </w:r>
      <w:r w:rsidRPr="00773DFA">
        <w:t xml:space="preserve"> nel servizio integrato</w:t>
      </w:r>
      <w:r w:rsidR="00517144" w:rsidRPr="00773DFA">
        <w:t>.</w:t>
      </w:r>
    </w:p>
    <w:p w14:paraId="326B1221" w14:textId="748228D2" w:rsidR="0034191C" w:rsidRPr="00773DFA" w:rsidRDefault="0034191C" w:rsidP="0034191C"/>
    <w:p w14:paraId="50A35D52" w14:textId="77777777" w:rsidR="0034191C" w:rsidRPr="00773DFA" w:rsidRDefault="0034191C" w:rsidP="00C0325F">
      <w:pPr>
        <w:pStyle w:val="Titolo2"/>
        <w:tabs>
          <w:tab w:val="clear" w:pos="5395"/>
        </w:tabs>
        <w:ind w:left="567"/>
      </w:pPr>
      <w:bookmarkStart w:id="37" w:name="_Toc86134949"/>
      <w:bookmarkStart w:id="38" w:name="_Toc86135038"/>
      <w:bookmarkStart w:id="39" w:name="_Toc86135632"/>
      <w:bookmarkStart w:id="40" w:name="_Toc149660935"/>
      <w:r w:rsidRPr="00773DFA">
        <w:lastRenderedPageBreak/>
        <w:t>Altre informazioni rilevanti</w:t>
      </w:r>
      <w:bookmarkEnd w:id="37"/>
      <w:bookmarkEnd w:id="38"/>
      <w:bookmarkEnd w:id="39"/>
      <w:bookmarkEnd w:id="40"/>
    </w:p>
    <w:p w14:paraId="263FEAC2" w14:textId="4064EFA2" w:rsidR="0034191C" w:rsidRPr="00773DFA" w:rsidRDefault="00291640" w:rsidP="0034191C">
      <w:r>
        <w:t>Ciascun</w:t>
      </w:r>
      <w:r w:rsidR="00131398" w:rsidRPr="00773DFA">
        <w:t xml:space="preserve"> gestore dovrà illustrare la </w:t>
      </w:r>
      <w:r>
        <w:t xml:space="preserve">propria </w:t>
      </w:r>
      <w:r w:rsidR="0034191C" w:rsidRPr="00773DFA">
        <w:t xml:space="preserve">situazione </w:t>
      </w:r>
      <w:r w:rsidR="00131398" w:rsidRPr="00773DFA">
        <w:t>relativa</w:t>
      </w:r>
      <w:r w:rsidR="0034191C" w:rsidRPr="00773DFA">
        <w:t xml:space="preserve"> a:</w:t>
      </w:r>
    </w:p>
    <w:p w14:paraId="5557C9D0" w14:textId="2800B682" w:rsidR="00C43618" w:rsidRPr="00C43618" w:rsidRDefault="00131398" w:rsidP="00C43618">
      <w:pPr>
        <w:numPr>
          <w:ilvl w:val="0"/>
          <w:numId w:val="30"/>
        </w:numPr>
      </w:pPr>
      <w:r w:rsidRPr="00773DFA">
        <w:t xml:space="preserve">lo stato </w:t>
      </w:r>
      <w:r w:rsidR="0034191C" w:rsidRPr="00773DFA">
        <w:t>giuridico-patrimoniale</w:t>
      </w:r>
      <w:r w:rsidR="00C43618">
        <w:t xml:space="preserve"> di eventuale crisi patrimoniale</w:t>
      </w:r>
      <w:r w:rsidR="0034191C" w:rsidRPr="00773DFA">
        <w:t xml:space="preserve"> (es. procedure fallimentari, concordato preventivo, altro)</w:t>
      </w:r>
      <w:r w:rsidR="00C43618" w:rsidRPr="00C43618">
        <w:t xml:space="preserve"> ovvero di </w:t>
      </w:r>
      <w:r w:rsidR="008B4713">
        <w:t>E</w:t>
      </w:r>
      <w:r w:rsidR="00C43618" w:rsidRPr="00C43618">
        <w:t>nte locale in situazione di squilibrio strutturale del bilancio (quali situazione di dissesto, di cd. dissesto guidato, di procedura di riequilibrio finanziario pluriennale);</w:t>
      </w:r>
    </w:p>
    <w:p w14:paraId="7BF6DD04" w14:textId="22F5564C" w:rsidR="0034191C" w:rsidRPr="00773DFA" w:rsidRDefault="00131398" w:rsidP="00322EBB">
      <w:pPr>
        <w:numPr>
          <w:ilvl w:val="0"/>
          <w:numId w:val="30"/>
        </w:numPr>
      </w:pPr>
      <w:r w:rsidRPr="00773DFA">
        <w:t xml:space="preserve">i </w:t>
      </w:r>
      <w:r w:rsidR="0034191C" w:rsidRPr="00773DFA">
        <w:t>ricorsi pendenti</w:t>
      </w:r>
      <w:r w:rsidR="00C43618">
        <w:t xml:space="preserve"> rilevanti </w:t>
      </w:r>
      <w:r w:rsidR="00C43618" w:rsidRPr="00C43618">
        <w:t>(es. per l’affidamento del servizio o per il riconoscimento del corrispettivo)</w:t>
      </w:r>
      <w:r w:rsidRPr="00773DFA">
        <w:t>;</w:t>
      </w:r>
    </w:p>
    <w:p w14:paraId="4889CDAD" w14:textId="4E2CAD73" w:rsidR="0034191C" w:rsidRPr="00773DFA" w:rsidRDefault="00131398" w:rsidP="00322EBB">
      <w:pPr>
        <w:numPr>
          <w:ilvl w:val="0"/>
          <w:numId w:val="30"/>
        </w:numPr>
      </w:pPr>
      <w:r w:rsidRPr="00773DFA">
        <w:t xml:space="preserve">le </w:t>
      </w:r>
      <w:r w:rsidR="0034191C" w:rsidRPr="00773DFA">
        <w:t xml:space="preserve">sentenze </w:t>
      </w:r>
      <w:r w:rsidR="00C43618">
        <w:t xml:space="preserve">rilevanti </w:t>
      </w:r>
      <w:r w:rsidR="0034191C" w:rsidRPr="00773DFA">
        <w:t>passate in giudicato</w:t>
      </w:r>
      <w:r w:rsidR="00C43618">
        <w:t xml:space="preserve"> nell’ultimo biennio</w:t>
      </w:r>
      <w:r w:rsidR="00F71EFD" w:rsidRPr="00773DFA">
        <w:t>.</w:t>
      </w:r>
    </w:p>
    <w:p w14:paraId="5CC49943" w14:textId="77777777" w:rsidR="00FF6A01" w:rsidRPr="00773DFA" w:rsidRDefault="00FF6A01" w:rsidP="003E336F"/>
    <w:p w14:paraId="1E487907" w14:textId="5D2DAF8C" w:rsidR="00C43618" w:rsidRPr="00773DFA" w:rsidRDefault="00FF6A01" w:rsidP="00C43618">
      <w:pPr>
        <w:pStyle w:val="Titolo1"/>
      </w:pPr>
      <w:bookmarkStart w:id="41" w:name="_Toc149660936"/>
      <w:r w:rsidRPr="00773DFA">
        <w:t xml:space="preserve">Dati relativi alla gestione </w:t>
      </w:r>
      <w:r w:rsidR="00594C60" w:rsidRPr="00773DFA">
        <w:t xml:space="preserve">dell’ambito </w:t>
      </w:r>
      <w:r w:rsidR="00C43618">
        <w:t>tariffario (G)</w:t>
      </w:r>
      <w:bookmarkStart w:id="42" w:name="_Toc86003347"/>
      <w:bookmarkStart w:id="43" w:name="_Toc86134950"/>
      <w:bookmarkStart w:id="44" w:name="_Toc86135039"/>
      <w:bookmarkStart w:id="45" w:name="_Toc86135633"/>
      <w:bookmarkEnd w:id="41"/>
      <w:bookmarkEnd w:id="42"/>
      <w:bookmarkEnd w:id="43"/>
      <w:bookmarkEnd w:id="44"/>
      <w:bookmarkEnd w:id="45"/>
    </w:p>
    <w:p w14:paraId="1685F4E5" w14:textId="54168078" w:rsidR="00C43618" w:rsidRPr="00C43618" w:rsidRDefault="00512D0D" w:rsidP="00C43618">
      <w:r w:rsidRPr="00773DFA">
        <w:t>In generale</w:t>
      </w:r>
      <w:r w:rsidR="00131398" w:rsidRPr="00773DFA">
        <w:t xml:space="preserve">, il gestore </w:t>
      </w:r>
      <w:r w:rsidR="00C43618" w:rsidRPr="00C43618">
        <w:t xml:space="preserve">del servizio integrato o, in caso di pluralità di gestori, ciascuno dei gestori dei servizi che lo compongono, ivi incluso il Comune che gestisce in economia uno o più servizi, </w:t>
      </w:r>
      <w:r w:rsidR="00C43618">
        <w:t>relaziona su</w:t>
      </w:r>
      <w:r w:rsidR="00AB0B2C" w:rsidRPr="00773DFA">
        <w:t xml:space="preserve">i dati </w:t>
      </w:r>
      <w:r w:rsidR="00C43618">
        <w:t xml:space="preserve">di propria competenza </w:t>
      </w:r>
      <w:r w:rsidR="00AB0B2C" w:rsidRPr="00773DFA">
        <w:t>inseriti nell</w:t>
      </w:r>
      <w:r w:rsidR="00F3035C">
        <w:t>’</w:t>
      </w:r>
      <w:r w:rsidR="00C43618" w:rsidRPr="00AD3EAC">
        <w:t>A</w:t>
      </w:r>
      <w:r w:rsidR="00F3035C" w:rsidRPr="00AD3EAC">
        <w:t>llegato</w:t>
      </w:r>
      <w:r w:rsidR="00C43618" w:rsidRPr="00AD3EAC">
        <w:t xml:space="preserve"> 1</w:t>
      </w:r>
      <w:r w:rsidR="000B6A4E">
        <w:t xml:space="preserve"> </w:t>
      </w:r>
      <w:r w:rsidR="009E7960">
        <w:t>(</w:t>
      </w:r>
      <w:r w:rsidR="000B6A4E" w:rsidRPr="003742E7">
        <w:rPr>
          <w:i/>
          <w:iCs/>
        </w:rPr>
        <w:t>Tool</w:t>
      </w:r>
      <w:r w:rsidR="000B6A4E">
        <w:t xml:space="preserve"> di calcolo</w:t>
      </w:r>
      <w:r w:rsidR="009E7960">
        <w:t>)</w:t>
      </w:r>
      <w:r w:rsidR="00C43618" w:rsidRPr="00C43618">
        <w:t>.</w:t>
      </w:r>
    </w:p>
    <w:p w14:paraId="146EC263" w14:textId="77777777" w:rsidR="00305479" w:rsidRPr="00773DFA" w:rsidRDefault="00305479" w:rsidP="00305479"/>
    <w:p w14:paraId="78241ABD" w14:textId="77777777" w:rsidR="005316ED" w:rsidRPr="00773DFA" w:rsidRDefault="00A94BD8" w:rsidP="00C0325F">
      <w:pPr>
        <w:pStyle w:val="Titolo2"/>
        <w:tabs>
          <w:tab w:val="clear" w:pos="5395"/>
        </w:tabs>
        <w:ind w:left="567"/>
      </w:pPr>
      <w:bookmarkStart w:id="46" w:name="_Toc86134951"/>
      <w:bookmarkStart w:id="47" w:name="_Toc86135040"/>
      <w:bookmarkStart w:id="48" w:name="_Toc86135634"/>
      <w:bookmarkStart w:id="49" w:name="_Toc149660937"/>
      <w:r w:rsidRPr="00773DFA">
        <w:t>Dati tecnici e patrimoniali</w:t>
      </w:r>
      <w:bookmarkEnd w:id="46"/>
      <w:bookmarkEnd w:id="47"/>
      <w:bookmarkEnd w:id="48"/>
      <w:bookmarkEnd w:id="49"/>
    </w:p>
    <w:p w14:paraId="1C22CF81" w14:textId="77777777" w:rsidR="00A94BD8" w:rsidRPr="00773DFA" w:rsidRDefault="00A94BD8" w:rsidP="00BC1E8A">
      <w:pPr>
        <w:pStyle w:val="Titolo3"/>
        <w:tabs>
          <w:tab w:val="clear" w:pos="4831"/>
          <w:tab w:val="num" w:pos="720"/>
        </w:tabs>
        <w:ind w:left="720"/>
      </w:pPr>
      <w:bookmarkStart w:id="50" w:name="_Toc23417913"/>
      <w:bookmarkStart w:id="51" w:name="_Toc23418030"/>
      <w:bookmarkStart w:id="52" w:name="_Toc23418156"/>
      <w:bookmarkStart w:id="53" w:name="_Toc86134952"/>
      <w:bookmarkStart w:id="54" w:name="_Toc86135041"/>
      <w:bookmarkStart w:id="55" w:name="_Toc86135635"/>
      <w:bookmarkStart w:id="56" w:name="_Ref86911174"/>
      <w:bookmarkStart w:id="57" w:name="_Toc149660938"/>
      <w:bookmarkEnd w:id="50"/>
      <w:bookmarkEnd w:id="51"/>
      <w:bookmarkEnd w:id="52"/>
      <w:r w:rsidRPr="00773DFA">
        <w:t>Dati su</w:t>
      </w:r>
      <w:r w:rsidR="00131398" w:rsidRPr="00773DFA">
        <w:t>l</w:t>
      </w:r>
      <w:r w:rsidRPr="00773DFA">
        <w:t xml:space="preserve"> territorio gestito e</w:t>
      </w:r>
      <w:r w:rsidR="00131398" w:rsidRPr="00773DFA">
        <w:t xml:space="preserve"> sull’</w:t>
      </w:r>
      <w:r w:rsidRPr="00773DFA">
        <w:t>affidamento</w:t>
      </w:r>
      <w:bookmarkEnd w:id="53"/>
      <w:bookmarkEnd w:id="54"/>
      <w:bookmarkEnd w:id="55"/>
      <w:bookmarkEnd w:id="56"/>
      <w:bookmarkEnd w:id="57"/>
    </w:p>
    <w:p w14:paraId="563A6AC8" w14:textId="7350A441" w:rsidR="005F7AB3" w:rsidRPr="005F7AB3" w:rsidRDefault="00C43618" w:rsidP="005F7AB3">
      <w:r w:rsidRPr="00C43618">
        <w:t xml:space="preserve">Con riferimento </w:t>
      </w:r>
      <w:r w:rsidR="00DC67E6">
        <w:t>ad entrambe le</w:t>
      </w:r>
      <w:r w:rsidRPr="00C43618">
        <w:t xml:space="preserve"> annualità del </w:t>
      </w:r>
      <w:r w:rsidR="00BB141C">
        <w:t>biennio</w:t>
      </w:r>
      <w:r w:rsidRPr="00C43618">
        <w:t xml:space="preserve"> 202</w:t>
      </w:r>
      <w:r w:rsidR="00BB141C">
        <w:t>4</w:t>
      </w:r>
      <w:r w:rsidRPr="00C43618">
        <w:t>-2025, ciascun</w:t>
      </w:r>
      <w:r w:rsidR="00131398" w:rsidRPr="00773DFA">
        <w:t xml:space="preserve"> gestore i</w:t>
      </w:r>
      <w:r w:rsidR="00AB0B2C" w:rsidRPr="00773DFA">
        <w:t xml:space="preserve">llustra </w:t>
      </w:r>
      <w:r w:rsidR="005F7AB3">
        <w:t>le</w:t>
      </w:r>
      <w:r w:rsidR="005F7AB3" w:rsidRPr="00773DFA">
        <w:t xml:space="preserve"> </w:t>
      </w:r>
      <w:r w:rsidR="00CC09E4" w:rsidRPr="00773DFA">
        <w:t>v</w:t>
      </w:r>
      <w:r w:rsidR="00F71EFD" w:rsidRPr="00773DFA">
        <w:t xml:space="preserve">ariazioni </w:t>
      </w:r>
      <w:r w:rsidR="00CC09E4" w:rsidRPr="00773DFA">
        <w:t xml:space="preserve">attese </w:t>
      </w:r>
      <w:r w:rsidR="00F71EFD" w:rsidRPr="00773DFA">
        <w:t>di perimetro</w:t>
      </w:r>
      <w:r w:rsidR="00026264" w:rsidRPr="00773DFA">
        <w:t xml:space="preserve"> </w:t>
      </w:r>
      <w:r w:rsidR="005F7AB3">
        <w:t xml:space="preserve">gestionale </w:t>
      </w:r>
      <w:r w:rsidR="005F7AB3" w:rsidRPr="005F7AB3">
        <w:t xml:space="preserve">(quali ad esempio il passaggio dalla raccolta stradale alla raccolta porta a porta, i processi di aggregazione delle gestioni, e/o il potenziamento delle attività di prevenzione della produzione dei rifiuti urbani e di riutilizzo dei medesimi) che interessano uno o più dei servizi dallo stesso forniti, evidenziando l’eventuale esigenza di valorizzazione del coefficiente </w:t>
      </w:r>
      <w:r w:rsidR="005F7AB3" w:rsidRPr="005F7AB3">
        <w:rPr>
          <w:i/>
        </w:rPr>
        <w:t>PG</w:t>
      </w:r>
      <w:r w:rsidR="005F7AB3" w:rsidRPr="005F7AB3">
        <w:rPr>
          <w:iCs/>
        </w:rPr>
        <w:t xml:space="preserve"> da parte dell’Ente territorialmente competente e/o di riconoscimento di costi operativi incentivanti (</w:t>
      </w:r>
      <w:r w:rsidR="005F7AB3" w:rsidRPr="00A719AF">
        <w:rPr>
          <w:i/>
        </w:rPr>
        <w:t>COI</w:t>
      </w:r>
      <w:r w:rsidR="005F7AB3" w:rsidRPr="005F7AB3">
        <w:rPr>
          <w:iCs/>
        </w:rPr>
        <w:t>).</w:t>
      </w:r>
    </w:p>
    <w:p w14:paraId="756CE3BC" w14:textId="77777777" w:rsidR="004D6DFC" w:rsidRPr="00773DFA" w:rsidRDefault="00131398" w:rsidP="004D6DFC">
      <w:r w:rsidRPr="00773DFA">
        <w:t>Il gestore dovrà, poi, d</w:t>
      </w:r>
      <w:r w:rsidR="004D6DFC" w:rsidRPr="00773DFA">
        <w:t xml:space="preserve">escrivere (evidenziando le variazioni rispetto agli anni precedenti) e motivare le scelte adottate/previste in ordine alle variazioni nel perimetro che si rendono necessarie nella propria realtà territoriale a seguito di un cambiamento sistematico delle attività (ad esempio </w:t>
      </w:r>
      <w:r w:rsidRPr="00773DFA">
        <w:t xml:space="preserve">nel </w:t>
      </w:r>
      <w:r w:rsidR="004D6DFC" w:rsidRPr="00773DFA">
        <w:t xml:space="preserve">territorio servito, </w:t>
      </w:r>
      <w:r w:rsidRPr="00773DFA">
        <w:t xml:space="preserve">nei </w:t>
      </w:r>
      <w:r w:rsidR="004D6DFC" w:rsidRPr="00773DFA">
        <w:t xml:space="preserve">servizi forniti). </w:t>
      </w:r>
    </w:p>
    <w:p w14:paraId="6D69A299" w14:textId="77777777" w:rsidR="0026283A" w:rsidRPr="00773DFA" w:rsidRDefault="009A2F02" w:rsidP="00804F1B">
      <w:pPr>
        <w:ind w:left="720"/>
      </w:pPr>
      <w:r w:rsidRPr="00773DFA">
        <w:t xml:space="preserve"> </w:t>
      </w:r>
    </w:p>
    <w:p w14:paraId="088FB8CD" w14:textId="77777777" w:rsidR="00C33520" w:rsidRPr="00773DFA" w:rsidRDefault="00A94BD8" w:rsidP="00FB5A99">
      <w:pPr>
        <w:pStyle w:val="Titolo3"/>
        <w:tabs>
          <w:tab w:val="clear" w:pos="4831"/>
          <w:tab w:val="num" w:pos="720"/>
        </w:tabs>
        <w:ind w:left="720"/>
      </w:pPr>
      <w:bookmarkStart w:id="58" w:name="_Toc86134953"/>
      <w:bookmarkStart w:id="59" w:name="_Toc86135042"/>
      <w:bookmarkStart w:id="60" w:name="_Toc86135636"/>
      <w:bookmarkStart w:id="61" w:name="_Ref86911146"/>
      <w:bookmarkStart w:id="62" w:name="_Ref86911194"/>
      <w:bookmarkStart w:id="63" w:name="_Toc149660939"/>
      <w:r w:rsidRPr="00773DFA">
        <w:t>Dati tecnici</w:t>
      </w:r>
      <w:r w:rsidR="002B703E" w:rsidRPr="00773DFA">
        <w:t xml:space="preserve"> e di qualità</w:t>
      </w:r>
      <w:bookmarkStart w:id="64" w:name="_Hlk22049505"/>
      <w:bookmarkEnd w:id="58"/>
      <w:bookmarkEnd w:id="59"/>
      <w:bookmarkEnd w:id="60"/>
      <w:bookmarkEnd w:id="61"/>
      <w:bookmarkEnd w:id="62"/>
      <w:bookmarkEnd w:id="63"/>
    </w:p>
    <w:p w14:paraId="7E204814" w14:textId="143B778F" w:rsidR="001F742C" w:rsidRDefault="005F7AB3" w:rsidP="00A90C24">
      <w:r w:rsidRPr="005F7AB3">
        <w:t xml:space="preserve">Con riferimento </w:t>
      </w:r>
      <w:r w:rsidR="00DC67E6">
        <w:t>ad entrambe le annualità</w:t>
      </w:r>
      <w:r w:rsidRPr="005F7AB3">
        <w:t xml:space="preserve"> del </w:t>
      </w:r>
      <w:r w:rsidR="00DC67E6">
        <w:t>biennio</w:t>
      </w:r>
      <w:r w:rsidRPr="005F7AB3">
        <w:t xml:space="preserve"> 202</w:t>
      </w:r>
      <w:r w:rsidR="00DC67E6">
        <w:t>4</w:t>
      </w:r>
      <w:r w:rsidRPr="005F7AB3">
        <w:t xml:space="preserve">-2025, </w:t>
      </w:r>
      <w:r>
        <w:t>ciascun</w:t>
      </w:r>
      <w:r w:rsidR="00131398" w:rsidRPr="00773DFA">
        <w:t xml:space="preserve"> gestore i</w:t>
      </w:r>
      <w:r w:rsidR="00A90C24" w:rsidRPr="00773DFA">
        <w:t>llustra</w:t>
      </w:r>
      <w:r w:rsidR="00A90C24" w:rsidRPr="00773DFA">
        <w:rPr>
          <w:b/>
        </w:rPr>
        <w:t xml:space="preserve"> </w:t>
      </w:r>
      <w:r w:rsidRPr="005F7AB3">
        <w:rPr>
          <w:bCs/>
        </w:rPr>
        <w:t>le</w:t>
      </w:r>
      <w:r w:rsidR="00C71AD9">
        <w:rPr>
          <w:bCs/>
        </w:rPr>
        <w:t xml:space="preserve"> </w:t>
      </w:r>
      <w:r w:rsidR="00A90C24" w:rsidRPr="00773DFA">
        <w:t xml:space="preserve">variazioni </w:t>
      </w:r>
      <w:r w:rsidR="00C71AD9">
        <w:t xml:space="preserve"> </w:t>
      </w:r>
      <w:r w:rsidR="00A90C24" w:rsidRPr="00773DFA">
        <w:t xml:space="preserve">attese </w:t>
      </w:r>
      <w:r w:rsidR="00A90C24" w:rsidRPr="0049499C">
        <w:t xml:space="preserve">delle caratteristiche del servizio </w:t>
      </w:r>
      <w:r w:rsidRPr="0049499C">
        <w:t>che interessano una o più delle attività dallo stesso erogat</w:t>
      </w:r>
      <w:r w:rsidR="00E513EC">
        <w:t xml:space="preserve">e, </w:t>
      </w:r>
      <w:r w:rsidRPr="0049499C">
        <w:t>dando separata evidenza di quelle relative all’adeguamento ai nuovi standard minimi di qualità introdotti dall’Autorità</w:t>
      </w:r>
      <w:r w:rsidR="00E75113">
        <w:t xml:space="preserve"> </w:t>
      </w:r>
      <w:r w:rsidR="001F613C">
        <w:t xml:space="preserve">con l’Allegato A </w:t>
      </w:r>
      <w:r w:rsidR="00623181">
        <w:t>alla</w:t>
      </w:r>
      <w:r w:rsidR="00623181" w:rsidRPr="00623181">
        <w:t xml:space="preserve"> deliberazione dell’Autorità 18 gennaio 2022, 15/2022/R/</w:t>
      </w:r>
      <w:r w:rsidR="00623181" w:rsidRPr="008A5769">
        <w:rPr>
          <w:sz w:val="20"/>
          <w:szCs w:val="20"/>
        </w:rPr>
        <w:t>RIF</w:t>
      </w:r>
      <w:r w:rsidR="00623181">
        <w:rPr>
          <w:sz w:val="20"/>
          <w:szCs w:val="20"/>
        </w:rPr>
        <w:t xml:space="preserve"> </w:t>
      </w:r>
      <w:r w:rsidR="00623181">
        <w:t>(</w:t>
      </w:r>
      <w:r w:rsidR="00C73550">
        <w:t>TQRIF),</w:t>
      </w:r>
      <w:r w:rsidRPr="0049499C">
        <w:t xml:space="preserve"> rispetto a quelle </w:t>
      </w:r>
      <w:r w:rsidR="00F536D8">
        <w:t xml:space="preserve">concordate o richieste </w:t>
      </w:r>
      <w:r w:rsidRPr="0049499C">
        <w:t xml:space="preserve">dall’Ente territorialmente competente (quali, ad esempio, una frequenza maggiore nelle attività di spazzamento e di raccolta, incrementi dei livelli di riutilizzo e riciclaggio e/o incrementi significativi della percentuale di raccolta differenziata, standard di qualità migliorativi rispetto a quelli minimi </w:t>
      </w:r>
      <w:r w:rsidR="00F35420" w:rsidRPr="00F35420">
        <w:t>definiti</w:t>
      </w:r>
      <w:r w:rsidR="00B919B7" w:rsidRPr="00F35420">
        <w:t xml:space="preserve"> </w:t>
      </w:r>
      <w:r w:rsidRPr="00F35420">
        <w:t>dall’Autorità</w:t>
      </w:r>
      <w:r w:rsidRPr="0049499C">
        <w:t xml:space="preserve">). </w:t>
      </w:r>
    </w:p>
    <w:p w14:paraId="0CB155A3" w14:textId="301A37C6" w:rsidR="00A90C24" w:rsidRPr="00AD3EAC" w:rsidRDefault="005F7AB3" w:rsidP="00A90C24">
      <w:pPr>
        <w:rPr>
          <w:vertAlign w:val="subscript"/>
        </w:rPr>
      </w:pPr>
      <w:r w:rsidRPr="00935494">
        <w:t xml:space="preserve">Il </w:t>
      </w:r>
      <w:r w:rsidRPr="00BC1E8A">
        <w:t>gestore evidenzia</w:t>
      </w:r>
      <w:r w:rsidR="00D378ED">
        <w:t xml:space="preserve">, </w:t>
      </w:r>
      <w:r w:rsidR="00577BAF">
        <w:t>quindi</w:t>
      </w:r>
      <w:r w:rsidR="00D378ED">
        <w:t>,</w:t>
      </w:r>
      <w:r w:rsidRPr="00BC1E8A">
        <w:t xml:space="preserve"> l’eventuale esigenza di valorizzazione del coefficiente </w:t>
      </w:r>
      <w:r w:rsidRPr="00BC1E8A">
        <w:rPr>
          <w:i/>
        </w:rPr>
        <w:t xml:space="preserve">QL </w:t>
      </w:r>
      <w:r w:rsidRPr="00BC1E8A">
        <w:t>da parte dell’Ente territorialmente competente e/o di riconoscimento di costi di natura previsionale (</w:t>
      </w:r>
      <w:r w:rsidRPr="00A719AF">
        <w:rPr>
          <w:i/>
          <w:iCs/>
        </w:rPr>
        <w:t>CQ</w:t>
      </w:r>
      <w:r w:rsidRPr="00BC1E8A">
        <w:t xml:space="preserve"> e/o </w:t>
      </w:r>
      <w:r w:rsidRPr="00A719AF">
        <w:rPr>
          <w:i/>
          <w:iCs/>
        </w:rPr>
        <w:t>COI</w:t>
      </w:r>
      <w:r w:rsidRPr="00BC1E8A">
        <w:rPr>
          <w:iCs/>
        </w:rPr>
        <w:t>)</w:t>
      </w:r>
      <w:r w:rsidR="00A42EB3">
        <w:rPr>
          <w:iCs/>
        </w:rPr>
        <w:t xml:space="preserve">, </w:t>
      </w:r>
      <w:r w:rsidR="00A42EB3" w:rsidRPr="00AD3EAC">
        <w:t xml:space="preserve">nonché dell’eventuale esigenza di </w:t>
      </w:r>
      <w:r w:rsidR="00462E35" w:rsidRPr="00AD3EAC">
        <w:t>valorizzazione</w:t>
      </w:r>
      <w:r w:rsidR="00CB0314" w:rsidRPr="00AD3EAC">
        <w:t xml:space="preserve"> del coeffi</w:t>
      </w:r>
      <w:r w:rsidR="008315D1" w:rsidRPr="00AD3EAC">
        <w:t>c</w:t>
      </w:r>
      <w:r w:rsidR="00EA13BD" w:rsidRPr="00AD3EAC">
        <w:t>i</w:t>
      </w:r>
      <w:r w:rsidR="00CB0314" w:rsidRPr="00AD3EAC">
        <w:t>ente</w:t>
      </w:r>
      <w:r w:rsidR="00DD00CC" w:rsidRPr="00AD3EAC">
        <w:t xml:space="preserve"> </w:t>
      </w:r>
      <w:r w:rsidR="00DD00CC" w:rsidRPr="00AD3EAC">
        <w:rPr>
          <w:i/>
        </w:rPr>
        <w:t>C116</w:t>
      </w:r>
      <w:r w:rsidR="00CB0314" w:rsidRPr="00AD3EAC">
        <w:t xml:space="preserve"> </w:t>
      </w:r>
      <w:r w:rsidR="005C2C05" w:rsidRPr="00AD3EAC">
        <w:t>per la copertura d</w:t>
      </w:r>
      <w:r w:rsidR="001418EE" w:rsidRPr="00AD3EAC">
        <w:t>i costi di natura previsionale</w:t>
      </w:r>
      <w:r w:rsidR="00362093" w:rsidRPr="00AD3EAC">
        <w:t xml:space="preserve"> connessi a</w:t>
      </w:r>
      <w:r w:rsidR="00E34848" w:rsidRPr="00AD3EAC">
        <w:t>gli scostamenti attesi</w:t>
      </w:r>
      <w:r w:rsidR="0085365F" w:rsidRPr="00AD3EAC">
        <w:t xml:space="preserve"> riconducibili alle no</w:t>
      </w:r>
      <w:r w:rsidR="004D3F59" w:rsidRPr="00AD3EAC">
        <w:t>vità normative</w:t>
      </w:r>
      <w:r w:rsidR="00F5488E" w:rsidRPr="00AD3EAC">
        <w:t xml:space="preserve"> introdotte dal decreto legislativo n. 116/20 </w:t>
      </w:r>
      <w:r w:rsidR="00FB5A99" w:rsidRPr="00AD3EAC">
        <w:t xml:space="preserve">e/o di riconoscimento di costi di natura previsionale </w:t>
      </w:r>
      <w:r w:rsidR="00F5488E" w:rsidRPr="00AD3EAC">
        <w:t>(</w:t>
      </w:r>
      <m:oMath>
        <m:sSubSup>
          <m:sSubSupPr>
            <m:ctrlPr>
              <w:rPr>
                <w:rFonts w:ascii="Cambria Math" w:hAnsi="Cambria Math"/>
                <w:i/>
              </w:rPr>
            </m:ctrlPr>
          </m:sSubSupPr>
          <m:e>
            <m:r>
              <w:rPr>
                <w:rFonts w:ascii="Cambria Math" w:hAnsi="Cambria Math"/>
              </w:rPr>
              <m:t>CO</m:t>
            </m:r>
          </m:e>
          <m:sub>
            <m:r>
              <w:rPr>
                <w:rFonts w:ascii="Cambria Math" w:hAnsi="Cambria Math"/>
              </w:rPr>
              <m:t>116,  TV,a</m:t>
            </m:r>
          </m:sub>
          <m:sup>
            <m:r>
              <w:rPr>
                <w:rFonts w:ascii="Cambria Math" w:hAnsi="Cambria Math"/>
              </w:rPr>
              <m:t>exp</m:t>
            </m:r>
          </m:sup>
        </m:sSubSup>
      </m:oMath>
      <w:r w:rsidR="00DE3A0E" w:rsidRPr="00AD3EAC">
        <w:t>e</w:t>
      </w:r>
      <w:r w:rsidR="003C2ED0" w:rsidRPr="00AD3EAC">
        <w:rPr>
          <w:rFonts w:ascii="Cambria Math" w:hAnsi="Cambria Math" w:cs="Cambria Math"/>
          <w:sz w:val="17"/>
          <w:szCs w:val="17"/>
        </w:rPr>
        <w:t xml:space="preserve"> </w:t>
      </w:r>
      <m:oMath>
        <m:sSubSup>
          <m:sSubSupPr>
            <m:ctrlPr>
              <w:rPr>
                <w:rFonts w:ascii="Cambria Math" w:hAnsi="Cambria Math"/>
                <w:i/>
              </w:rPr>
            </m:ctrlPr>
          </m:sSubSupPr>
          <m:e>
            <m:r>
              <w:rPr>
                <w:rFonts w:ascii="Cambria Math" w:hAnsi="Cambria Math"/>
              </w:rPr>
              <m:t>CO</m:t>
            </m:r>
          </m:e>
          <m:sub>
            <m:r>
              <w:rPr>
                <w:rFonts w:ascii="Cambria Math" w:hAnsi="Cambria Math"/>
              </w:rPr>
              <m:t>116,  TF,a</m:t>
            </m:r>
          </m:sub>
          <m:sup>
            <m:r>
              <w:rPr>
                <w:rFonts w:ascii="Cambria Math" w:hAnsi="Cambria Math"/>
              </w:rPr>
              <m:t>exp</m:t>
            </m:r>
          </m:sup>
        </m:sSubSup>
      </m:oMath>
      <w:r w:rsidR="001A7856" w:rsidRPr="00AD3EAC">
        <w:t>).</w:t>
      </w:r>
    </w:p>
    <w:p w14:paraId="0A2EF46F" w14:textId="1BE2A980" w:rsidR="00A90C24" w:rsidRPr="00773DFA" w:rsidRDefault="00131398" w:rsidP="00A90C24">
      <w:r w:rsidRPr="00773DFA">
        <w:t xml:space="preserve">Successivamente, </w:t>
      </w:r>
      <w:r w:rsidR="000A4113" w:rsidRPr="00773DFA">
        <w:t>il gestore</w:t>
      </w:r>
      <w:r w:rsidRPr="00773DFA">
        <w:t xml:space="preserve"> dovrà d</w:t>
      </w:r>
      <w:r w:rsidR="00A90C24" w:rsidRPr="00773DFA">
        <w:t xml:space="preserve">escrivere (evidenziando le variazioni rispetto agli anni precedenti) e motivare le scelte adottate/previste in ordine alle variazioni nelle caratteristiche del servizio che si rendono necessarie nella propria realtà territoriale (ad esempio </w:t>
      </w:r>
      <w:r w:rsidR="000A4113" w:rsidRPr="00773DFA">
        <w:t xml:space="preserve">la </w:t>
      </w:r>
      <w:r w:rsidR="00A90C24" w:rsidRPr="00773DFA">
        <w:t>richiesta di livelli qualitativi sensibilmente più elevati</w:t>
      </w:r>
      <w:r w:rsidR="00C847C2">
        <w:t>)</w:t>
      </w:r>
      <w:r w:rsidR="002D455F" w:rsidRPr="00773DFA">
        <w:t>.</w:t>
      </w:r>
      <w:r w:rsidR="00A90C24" w:rsidRPr="00773DFA">
        <w:t xml:space="preserve"> </w:t>
      </w:r>
    </w:p>
    <w:p w14:paraId="722FB5BF" w14:textId="5CFA7C26" w:rsidR="00C71AD9" w:rsidRPr="00C71AD9" w:rsidRDefault="000A4113" w:rsidP="00C71AD9">
      <w:r w:rsidRPr="00F72E40">
        <w:lastRenderedPageBreak/>
        <w:t>Infine</w:t>
      </w:r>
      <w:r w:rsidR="00322EBB" w:rsidRPr="00F72E40">
        <w:t>,</w:t>
      </w:r>
      <w:r w:rsidRPr="00F72E40">
        <w:t xml:space="preserve"> il gestore </w:t>
      </w:r>
      <w:r w:rsidR="005F7AB3" w:rsidRPr="00F72E40">
        <w:t>fornisce i dati relativi</w:t>
      </w:r>
      <w:r w:rsidR="00986AB1" w:rsidRPr="00F72E40">
        <w:t xml:space="preserve"> </w:t>
      </w:r>
      <w:r w:rsidR="005F7AB3" w:rsidRPr="00F72E40">
        <w:t>a</w:t>
      </w:r>
      <w:r w:rsidR="00986AB1" w:rsidRPr="00F72E40">
        <w:t xml:space="preserve">ll’efficacia delle </w:t>
      </w:r>
      <w:r w:rsidR="00755CDE" w:rsidRPr="00F72E40">
        <w:t>attività di preparazione per il riutilizzo e il riciclo</w:t>
      </w:r>
      <w:r w:rsidRPr="00F72E40">
        <w:t>,</w:t>
      </w:r>
      <w:r w:rsidR="00755CDE" w:rsidRPr="00F72E40">
        <w:t xml:space="preserve"> anche </w:t>
      </w:r>
      <w:r w:rsidR="002520AF">
        <w:t>con riferimento al valore del macro</w:t>
      </w:r>
      <w:r w:rsidR="00146C9A">
        <w:t>-</w:t>
      </w:r>
      <w:r w:rsidR="002520AF">
        <w:t>indicatore R1</w:t>
      </w:r>
      <w:r w:rsidR="00146C9A">
        <w:t xml:space="preserve"> </w:t>
      </w:r>
      <w:r w:rsidR="00146C9A">
        <w:rPr>
          <w:iCs/>
        </w:rPr>
        <w:t>– “Efficacia dell’avvio a riciclaggio delle frazioni soggette agli obblighi di responsabilità estesa del produttore”,</w:t>
      </w:r>
      <w:r w:rsidR="002520AF">
        <w:t xml:space="preserve"> </w:t>
      </w:r>
      <w:r w:rsidR="00146C9A">
        <w:rPr>
          <w:iCs/>
        </w:rPr>
        <w:t>di cui all’articolo 6 dell’Allegato A alla deliberazione 387/2023/R/</w:t>
      </w:r>
      <w:r w:rsidR="00146C9A" w:rsidRPr="00E140B2">
        <w:rPr>
          <w:iCs/>
          <w:smallCaps/>
        </w:rPr>
        <w:t>rif</w:t>
      </w:r>
      <w:r w:rsidR="00C71AD9" w:rsidRPr="00F72E40">
        <w:t>.</w:t>
      </w:r>
      <w:r w:rsidR="007C19A6">
        <w:t xml:space="preserve"> </w:t>
      </w:r>
    </w:p>
    <w:bookmarkEnd w:id="64"/>
    <w:p w14:paraId="6BCDFEE4" w14:textId="77777777" w:rsidR="005E506A" w:rsidRPr="00773DFA" w:rsidRDefault="005E506A" w:rsidP="00FF6A01">
      <w:pPr>
        <w:pStyle w:val="Corpotesto"/>
        <w:rPr>
          <w:lang w:val="it-IT"/>
        </w:rPr>
      </w:pPr>
    </w:p>
    <w:p w14:paraId="58B8566E" w14:textId="77777777" w:rsidR="00FF6A01" w:rsidRPr="00773DFA" w:rsidRDefault="00FC3013" w:rsidP="00FB5A99">
      <w:pPr>
        <w:pStyle w:val="Titolo3"/>
        <w:tabs>
          <w:tab w:val="clear" w:pos="4831"/>
          <w:tab w:val="num" w:pos="720"/>
        </w:tabs>
        <w:ind w:left="720"/>
      </w:pPr>
      <w:bookmarkStart w:id="65" w:name="_Toc86134954"/>
      <w:bookmarkStart w:id="66" w:name="_Toc86135043"/>
      <w:bookmarkStart w:id="67" w:name="_Toc86135637"/>
      <w:bookmarkStart w:id="68" w:name="_Toc149660940"/>
      <w:r w:rsidRPr="00773DFA">
        <w:t>Fonti di finanziamento</w:t>
      </w:r>
      <w:bookmarkEnd w:id="65"/>
      <w:bookmarkEnd w:id="66"/>
      <w:bookmarkEnd w:id="67"/>
      <w:bookmarkEnd w:id="68"/>
    </w:p>
    <w:p w14:paraId="32D89F7D" w14:textId="4E8C72FD" w:rsidR="00DE398B" w:rsidRPr="00773DFA" w:rsidRDefault="000A4113" w:rsidP="00CC09E4">
      <w:r w:rsidRPr="00773DFA">
        <w:t>Il gestore dovrà i</w:t>
      </w:r>
      <w:r w:rsidR="00DE398B" w:rsidRPr="00773DFA">
        <w:t xml:space="preserve">ndicare </w:t>
      </w:r>
      <w:r w:rsidR="004E790D" w:rsidRPr="00773DFA">
        <w:t xml:space="preserve">il </w:t>
      </w:r>
      <w:r w:rsidR="00DE398B" w:rsidRPr="00773DFA">
        <w:t xml:space="preserve">dettaglio </w:t>
      </w:r>
      <w:r w:rsidR="004E790D" w:rsidRPr="00773DFA">
        <w:t>de</w:t>
      </w:r>
      <w:r w:rsidR="00DE398B" w:rsidRPr="00773DFA">
        <w:t>lle fonti di finanziamento</w:t>
      </w:r>
      <w:r w:rsidR="00076547" w:rsidRPr="00773DFA">
        <w:t>, con particolare riferimento a quelle</w:t>
      </w:r>
      <w:r w:rsidR="00DE398B" w:rsidRPr="00773DFA">
        <w:t xml:space="preserve"> derivanti da mezzi di terzi</w:t>
      </w:r>
      <w:r w:rsidRPr="00773DFA">
        <w:t>,</w:t>
      </w:r>
      <w:r w:rsidR="00EF2D6E" w:rsidRPr="00773DFA">
        <w:t xml:space="preserve"> evidenziando le modifiche significative rispetto agli anni precedenti</w:t>
      </w:r>
      <w:r w:rsidR="00C71AD9">
        <w:t>.</w:t>
      </w:r>
      <w:r w:rsidR="002D455F" w:rsidRPr="00773DFA">
        <w:t xml:space="preserve"> </w:t>
      </w:r>
    </w:p>
    <w:p w14:paraId="3B6B5CF8" w14:textId="77777777" w:rsidR="00FF6A01" w:rsidRPr="00773DFA" w:rsidRDefault="00FF6A01" w:rsidP="00FF6A01">
      <w:pPr>
        <w:rPr>
          <w:lang w:eastAsia="en-GB"/>
        </w:rPr>
      </w:pPr>
    </w:p>
    <w:p w14:paraId="20DA78C7" w14:textId="77777777" w:rsidR="001A2E02" w:rsidRPr="00773DFA" w:rsidRDefault="00C01382" w:rsidP="00C0325F">
      <w:pPr>
        <w:pStyle w:val="Titolo2"/>
        <w:tabs>
          <w:tab w:val="clear" w:pos="5395"/>
        </w:tabs>
        <w:ind w:left="567"/>
      </w:pPr>
      <w:bookmarkStart w:id="69" w:name="_Toc86134955"/>
      <w:bookmarkStart w:id="70" w:name="_Toc86135044"/>
      <w:bookmarkStart w:id="71" w:name="_Toc86135638"/>
      <w:bookmarkStart w:id="72" w:name="_Toc149660941"/>
      <w:r w:rsidRPr="00773DFA">
        <w:t xml:space="preserve">Dati </w:t>
      </w:r>
      <w:r w:rsidR="00EF2D6E" w:rsidRPr="00773DFA">
        <w:t xml:space="preserve">per la determinazione delle </w:t>
      </w:r>
      <w:r w:rsidR="000A4113" w:rsidRPr="00773DFA">
        <w:t>e</w:t>
      </w:r>
      <w:r w:rsidR="00EF2D6E" w:rsidRPr="00773DFA">
        <w:t>ntrate di riferimento</w:t>
      </w:r>
      <w:bookmarkEnd w:id="69"/>
      <w:bookmarkEnd w:id="70"/>
      <w:bookmarkEnd w:id="71"/>
      <w:bookmarkEnd w:id="72"/>
    </w:p>
    <w:p w14:paraId="75547D61" w14:textId="3656B023" w:rsidR="00C71AD9" w:rsidRPr="00B27A35" w:rsidRDefault="00C71AD9">
      <w:pPr>
        <w:rPr>
          <w:lang w:eastAsia="en-GB"/>
        </w:rPr>
      </w:pPr>
      <w:r w:rsidRPr="00773DFA">
        <w:rPr>
          <w:lang w:eastAsia="en-GB"/>
        </w:rPr>
        <w:t xml:space="preserve">Il/I PEF redatto/i in conformità al modello </w:t>
      </w:r>
      <w:r>
        <w:rPr>
          <w:lang w:eastAsia="en-GB"/>
        </w:rPr>
        <w:t xml:space="preserve">di cui alla determina </w:t>
      </w:r>
      <w:r w:rsidR="00D167FD">
        <w:rPr>
          <w:lang w:eastAsia="en-GB"/>
        </w:rPr>
        <w:t>1</w:t>
      </w:r>
      <w:r w:rsidR="00AD3EAC">
        <w:rPr>
          <w:lang w:eastAsia="en-GB"/>
        </w:rPr>
        <w:t>/</w:t>
      </w:r>
      <w:r w:rsidR="005D4C3D">
        <w:rPr>
          <w:lang w:eastAsia="en-GB"/>
        </w:rPr>
        <w:t>D</w:t>
      </w:r>
      <w:r w:rsidR="00A135B8">
        <w:rPr>
          <w:lang w:eastAsia="en-GB"/>
        </w:rPr>
        <w:t>TAC</w:t>
      </w:r>
      <w:r w:rsidR="005D4C3D">
        <w:rPr>
          <w:lang w:eastAsia="en-GB"/>
        </w:rPr>
        <w:t>/202</w:t>
      </w:r>
      <w:r w:rsidR="00D167FD">
        <w:rPr>
          <w:lang w:eastAsia="en-GB"/>
        </w:rPr>
        <w:t>3</w:t>
      </w:r>
      <w:r w:rsidRPr="00773DFA">
        <w:rPr>
          <w:lang w:eastAsia="en-GB"/>
        </w:rPr>
        <w:t xml:space="preserve"> sintetizza/no tutte le informazioni e i dati rilevanti per la determinazione delle entrate tariffarie relative a</w:t>
      </w:r>
      <w:r>
        <w:rPr>
          <w:lang w:eastAsia="en-GB"/>
        </w:rPr>
        <w:t>ll’ambito tariffario e a</w:t>
      </w:r>
      <w:r w:rsidR="00B2307F">
        <w:rPr>
          <w:lang w:eastAsia="en-GB"/>
        </w:rPr>
        <w:t>d</w:t>
      </w:r>
      <w:r>
        <w:rPr>
          <w:lang w:eastAsia="en-GB"/>
        </w:rPr>
        <w:t xml:space="preserve"> </w:t>
      </w:r>
      <w:r w:rsidR="00B2307F">
        <w:rPr>
          <w:lang w:eastAsia="en-GB"/>
        </w:rPr>
        <w:t>entrambi</w:t>
      </w:r>
      <w:r w:rsidR="0092658B">
        <w:rPr>
          <w:lang w:eastAsia="en-GB"/>
        </w:rPr>
        <w:t xml:space="preserve"> </w:t>
      </w:r>
      <w:r w:rsidRPr="00773DFA">
        <w:rPr>
          <w:lang w:eastAsia="en-GB"/>
        </w:rPr>
        <w:t xml:space="preserve">gli anni </w:t>
      </w:r>
      <w:r>
        <w:rPr>
          <w:lang w:eastAsia="en-GB"/>
        </w:rPr>
        <w:t xml:space="preserve">del </w:t>
      </w:r>
      <w:r w:rsidR="0092658B">
        <w:rPr>
          <w:lang w:eastAsia="en-GB"/>
        </w:rPr>
        <w:t>biennio</w:t>
      </w:r>
      <w:r>
        <w:rPr>
          <w:lang w:eastAsia="en-GB"/>
        </w:rPr>
        <w:t xml:space="preserve"> </w:t>
      </w:r>
      <w:r w:rsidRPr="000A7874">
        <w:rPr>
          <w:iCs/>
          <w:lang w:eastAsia="en-GB"/>
        </w:rPr>
        <w:t>202</w:t>
      </w:r>
      <w:r w:rsidR="0092658B">
        <w:rPr>
          <w:iCs/>
          <w:lang w:eastAsia="en-GB"/>
        </w:rPr>
        <w:t>4</w:t>
      </w:r>
      <w:r>
        <w:rPr>
          <w:lang w:eastAsia="en-GB"/>
        </w:rPr>
        <w:t>-2025,</w:t>
      </w:r>
      <w:r w:rsidRPr="00773DFA">
        <w:rPr>
          <w:lang w:eastAsia="en-GB"/>
        </w:rPr>
        <w:t xml:space="preserve"> in coerenza con i criteri disposti dal MTR</w:t>
      </w:r>
      <w:r>
        <w:rPr>
          <w:lang w:eastAsia="en-GB"/>
        </w:rPr>
        <w:t>-2</w:t>
      </w:r>
      <w:r w:rsidR="002E2358">
        <w:rPr>
          <w:lang w:eastAsia="en-GB"/>
        </w:rPr>
        <w:t xml:space="preserve"> </w:t>
      </w:r>
      <w:r w:rsidR="00F963B1">
        <w:rPr>
          <w:lang w:eastAsia="en-GB"/>
        </w:rPr>
        <w:t>aggiornato</w:t>
      </w:r>
      <w:r w:rsidRPr="00773DFA">
        <w:rPr>
          <w:lang w:eastAsia="en-GB"/>
        </w:rPr>
        <w:t>.</w:t>
      </w:r>
      <w:r w:rsidR="001D0257">
        <w:rPr>
          <w:lang w:eastAsia="en-GB"/>
        </w:rPr>
        <w:t xml:space="preserve"> </w:t>
      </w:r>
      <w:r w:rsidRPr="00773DFA">
        <w:rPr>
          <w:lang w:eastAsia="en-GB"/>
        </w:rPr>
        <w:t xml:space="preserve">Tali dati devono essere </w:t>
      </w:r>
      <w:r w:rsidR="00146EEF">
        <w:rPr>
          <w:lang w:eastAsia="en-GB"/>
        </w:rPr>
        <w:t>illustrati</w:t>
      </w:r>
      <w:r w:rsidR="00146EEF" w:rsidRPr="00773DFA">
        <w:rPr>
          <w:lang w:eastAsia="en-GB"/>
        </w:rPr>
        <w:t xml:space="preserve"> </w:t>
      </w:r>
      <w:r w:rsidRPr="00773DFA">
        <w:rPr>
          <w:lang w:eastAsia="en-GB"/>
        </w:rPr>
        <w:t xml:space="preserve">da </w:t>
      </w:r>
      <w:r>
        <w:rPr>
          <w:lang w:eastAsia="en-GB"/>
        </w:rPr>
        <w:t xml:space="preserve">ciascun </w:t>
      </w:r>
      <w:r w:rsidRPr="00773DFA">
        <w:rPr>
          <w:lang w:eastAsia="en-GB"/>
        </w:rPr>
        <w:t xml:space="preserve">gestore </w:t>
      </w:r>
      <w:r>
        <w:rPr>
          <w:lang w:eastAsia="en-GB"/>
        </w:rPr>
        <w:t xml:space="preserve">(ivi incluso il Comune </w:t>
      </w:r>
      <w:r w:rsidRPr="007528F0">
        <w:rPr>
          <w:lang w:eastAsia="en-GB"/>
        </w:rPr>
        <w:t>che gestisce in economia uno o più servizi</w:t>
      </w:r>
      <w:r>
        <w:rPr>
          <w:lang w:eastAsia="en-GB"/>
        </w:rPr>
        <w:t>),</w:t>
      </w:r>
      <w:r w:rsidRPr="007528F0">
        <w:rPr>
          <w:lang w:eastAsia="en-GB"/>
        </w:rPr>
        <w:t xml:space="preserve"> </w:t>
      </w:r>
      <w:r>
        <w:rPr>
          <w:lang w:eastAsia="en-GB"/>
        </w:rPr>
        <w:t xml:space="preserve">per quanto di propria competenza, </w:t>
      </w:r>
      <w:r w:rsidRPr="00773DFA">
        <w:rPr>
          <w:lang w:eastAsia="en-GB"/>
        </w:rPr>
        <w:t xml:space="preserve">sulla base </w:t>
      </w:r>
      <w:r>
        <w:rPr>
          <w:lang w:eastAsia="en-GB"/>
        </w:rPr>
        <w:t>della disciplina contenuta nell’articolo 7 del MTR-2</w:t>
      </w:r>
      <w:r w:rsidR="002070F4">
        <w:rPr>
          <w:lang w:eastAsia="en-GB"/>
        </w:rPr>
        <w:t xml:space="preserve"> aggiornato</w:t>
      </w:r>
      <w:r w:rsidR="00F379B2">
        <w:rPr>
          <w:lang w:eastAsia="en-GB"/>
        </w:rPr>
        <w:t>.</w:t>
      </w:r>
      <w:r>
        <w:rPr>
          <w:lang w:eastAsia="en-GB"/>
        </w:rPr>
        <w:t xml:space="preserve"> </w:t>
      </w:r>
    </w:p>
    <w:p w14:paraId="455AF0B8" w14:textId="672905EC" w:rsidR="00C71AD9" w:rsidRDefault="00C71AD9" w:rsidP="00C71AD9">
      <w:pPr>
        <w:rPr>
          <w:lang w:eastAsia="en-GB"/>
        </w:rPr>
      </w:pPr>
      <w:r w:rsidRPr="00783241">
        <w:rPr>
          <w:lang w:eastAsia="en-GB"/>
        </w:rPr>
        <w:t xml:space="preserve">In caso di avvicendamento gestionale, in conformità alla disciplina contenuta nell’articolo </w:t>
      </w:r>
      <w:r w:rsidR="005E5128" w:rsidRPr="00783241">
        <w:rPr>
          <w:lang w:eastAsia="en-GB"/>
        </w:rPr>
        <w:t>1</w:t>
      </w:r>
      <w:r w:rsidR="00243F7A" w:rsidRPr="00783241">
        <w:rPr>
          <w:lang w:eastAsia="en-GB"/>
        </w:rPr>
        <w:t>.</w:t>
      </w:r>
      <w:r w:rsidR="00A135B8">
        <w:rPr>
          <w:lang w:eastAsia="en-GB"/>
        </w:rPr>
        <w:t>2</w:t>
      </w:r>
      <w:r w:rsidRPr="00783241">
        <w:rPr>
          <w:lang w:eastAsia="en-GB"/>
        </w:rPr>
        <w:t xml:space="preserve">, della determina </w:t>
      </w:r>
      <w:r w:rsidR="00A135B8">
        <w:rPr>
          <w:lang w:eastAsia="en-GB"/>
        </w:rPr>
        <w:t>1</w:t>
      </w:r>
      <w:r w:rsidR="005E5128" w:rsidRPr="00783241">
        <w:rPr>
          <w:lang w:eastAsia="en-GB"/>
        </w:rPr>
        <w:t>/D</w:t>
      </w:r>
      <w:r w:rsidR="00A135B8">
        <w:rPr>
          <w:lang w:eastAsia="en-GB"/>
        </w:rPr>
        <w:t>TAC</w:t>
      </w:r>
      <w:r w:rsidR="005E5128" w:rsidRPr="00783241">
        <w:rPr>
          <w:lang w:eastAsia="en-GB"/>
        </w:rPr>
        <w:t>/202</w:t>
      </w:r>
      <w:r w:rsidR="00A135B8">
        <w:rPr>
          <w:lang w:eastAsia="en-GB"/>
        </w:rPr>
        <w:t>3</w:t>
      </w:r>
      <w:r w:rsidRPr="00783241">
        <w:rPr>
          <w:lang w:eastAsia="en-GB"/>
        </w:rPr>
        <w:t>, il gestore dovrà fornire adeguata giustificazione dei dati inseriti</w:t>
      </w:r>
      <w:r w:rsidR="00B95F07" w:rsidRPr="00783241">
        <w:rPr>
          <w:lang w:eastAsia="en-GB"/>
        </w:rPr>
        <w:t>,</w:t>
      </w:r>
      <w:r w:rsidRPr="00783241">
        <w:rPr>
          <w:lang w:eastAsia="en-GB"/>
        </w:rPr>
        <w:t xml:space="preserve"> delle eventuali stime effettuate per la predisposizione del PEF</w:t>
      </w:r>
      <w:r w:rsidR="004B0EB5" w:rsidRPr="00783241">
        <w:rPr>
          <w:lang w:eastAsia="en-GB"/>
        </w:rPr>
        <w:t xml:space="preserve"> </w:t>
      </w:r>
      <w:r w:rsidR="00B95F07" w:rsidRPr="00783241">
        <w:rPr>
          <w:lang w:eastAsia="en-GB"/>
        </w:rPr>
        <w:t>e delle modalità di determinazione dell</w:t>
      </w:r>
      <w:r w:rsidR="00FF4FE7" w:rsidRPr="00783241">
        <w:rPr>
          <w:lang w:eastAsia="en-GB"/>
        </w:rPr>
        <w:t>e</w:t>
      </w:r>
      <w:r w:rsidR="007909BE" w:rsidRPr="00783241">
        <w:t xml:space="preserve"> component</w:t>
      </w:r>
      <w:r w:rsidR="00FF4FE7" w:rsidRPr="00783241">
        <w:t>i</w:t>
      </w:r>
      <w:r w:rsidR="007909BE" w:rsidRPr="00783241">
        <w:t xml:space="preserve"> a conguaglio di cui all’Articolo 2</w:t>
      </w:r>
      <w:r w:rsidR="00857CAE" w:rsidRPr="00783241">
        <w:t>,</w:t>
      </w:r>
      <w:r w:rsidR="00980B9F" w:rsidRPr="00783241">
        <w:t xml:space="preserve"> comma 1, lettera c), della deliberazione 363/2021/R/</w:t>
      </w:r>
      <w:r w:rsidR="00980B9F" w:rsidRPr="00783241">
        <w:rPr>
          <w:smallCaps/>
        </w:rPr>
        <w:t>rif</w:t>
      </w:r>
      <w:r w:rsidRPr="00783241">
        <w:rPr>
          <w:lang w:eastAsia="en-GB"/>
        </w:rPr>
        <w:t>.</w:t>
      </w:r>
    </w:p>
    <w:p w14:paraId="1D0E1B46" w14:textId="77777777" w:rsidR="00033386" w:rsidRPr="00773DFA" w:rsidRDefault="00033386" w:rsidP="00EF2D6E">
      <w:pPr>
        <w:rPr>
          <w:lang w:eastAsia="en-GB"/>
        </w:rPr>
      </w:pPr>
    </w:p>
    <w:p w14:paraId="4138FF3B" w14:textId="77777777" w:rsidR="001A2E02" w:rsidRPr="00773DFA" w:rsidRDefault="001A2E02" w:rsidP="00FB5A99">
      <w:pPr>
        <w:pStyle w:val="Titolo3"/>
        <w:tabs>
          <w:tab w:val="clear" w:pos="4831"/>
          <w:tab w:val="num" w:pos="720"/>
        </w:tabs>
        <w:ind w:left="720"/>
      </w:pPr>
      <w:bookmarkStart w:id="73" w:name="_Toc86134956"/>
      <w:bookmarkStart w:id="74" w:name="_Toc86135045"/>
      <w:bookmarkStart w:id="75" w:name="_Toc86135639"/>
      <w:bookmarkStart w:id="76" w:name="_Toc149660942"/>
      <w:r w:rsidRPr="00773DFA">
        <w:t>Dati di conto economico</w:t>
      </w:r>
      <w:bookmarkEnd w:id="73"/>
      <w:bookmarkEnd w:id="74"/>
      <w:bookmarkEnd w:id="75"/>
      <w:bookmarkEnd w:id="76"/>
    </w:p>
    <w:p w14:paraId="3098948C" w14:textId="05DD47FA" w:rsidR="00C71AD9" w:rsidRPr="00C71AD9" w:rsidRDefault="00F6614E" w:rsidP="00C71AD9">
      <w:pPr>
        <w:rPr>
          <w:iCs/>
          <w:lang w:eastAsia="en-GB"/>
        </w:rPr>
      </w:pPr>
      <w:r w:rsidRPr="00773DFA">
        <w:rPr>
          <w:lang w:eastAsia="en-GB"/>
        </w:rPr>
        <w:t xml:space="preserve">Con riferimento a ciascun anno </w:t>
      </w:r>
      <w:r w:rsidRPr="00773DFA">
        <w:rPr>
          <w:i/>
          <w:lang w:eastAsia="en-GB"/>
        </w:rPr>
        <w:t>a</w:t>
      </w:r>
      <w:r w:rsidRPr="00773DFA">
        <w:rPr>
          <w:sz w:val="23"/>
          <w:szCs w:val="23"/>
        </w:rPr>
        <w:t>, le componenti di costo</w:t>
      </w:r>
      <w:r w:rsidR="00DB46B1" w:rsidRPr="00773DFA">
        <w:rPr>
          <w:sz w:val="23"/>
          <w:szCs w:val="23"/>
        </w:rPr>
        <w:t xml:space="preserve"> riportate nel</w:t>
      </w:r>
      <w:r w:rsidR="009471D9" w:rsidRPr="00773DFA">
        <w:rPr>
          <w:sz w:val="23"/>
          <w:szCs w:val="23"/>
        </w:rPr>
        <w:t>/i</w:t>
      </w:r>
      <w:r w:rsidR="00DB46B1" w:rsidRPr="00773DFA">
        <w:rPr>
          <w:sz w:val="23"/>
          <w:szCs w:val="23"/>
        </w:rPr>
        <w:t xml:space="preserve"> PEF </w:t>
      </w:r>
      <w:r w:rsidR="00986AB1" w:rsidRPr="00773DFA">
        <w:rPr>
          <w:sz w:val="23"/>
          <w:szCs w:val="23"/>
        </w:rPr>
        <w:t xml:space="preserve">dovranno </w:t>
      </w:r>
      <w:r w:rsidR="00DB46B1" w:rsidRPr="00773DFA">
        <w:rPr>
          <w:sz w:val="23"/>
          <w:szCs w:val="23"/>
        </w:rPr>
        <w:t xml:space="preserve">essere </w:t>
      </w:r>
      <w:r w:rsidR="00986AB1" w:rsidRPr="00773DFA">
        <w:rPr>
          <w:sz w:val="23"/>
          <w:szCs w:val="23"/>
        </w:rPr>
        <w:t>riconciliat</w:t>
      </w:r>
      <w:r w:rsidR="002D455F" w:rsidRPr="00773DFA">
        <w:rPr>
          <w:sz w:val="23"/>
          <w:szCs w:val="23"/>
        </w:rPr>
        <w:t>e</w:t>
      </w:r>
      <w:r w:rsidR="00986AB1" w:rsidRPr="00773DFA">
        <w:rPr>
          <w:sz w:val="23"/>
          <w:szCs w:val="23"/>
        </w:rPr>
        <w:t xml:space="preserve"> </w:t>
      </w:r>
      <w:r w:rsidR="00DB46B1" w:rsidRPr="00773DFA">
        <w:rPr>
          <w:sz w:val="23"/>
          <w:szCs w:val="23"/>
        </w:rPr>
        <w:t xml:space="preserve">con la somma </w:t>
      </w:r>
      <w:r w:rsidR="00882A18" w:rsidRPr="00773DFA">
        <w:rPr>
          <w:lang w:eastAsia="en-GB"/>
        </w:rPr>
        <w:t xml:space="preserve">dei costi effettivamente sostenuti dal gestore </w:t>
      </w:r>
      <w:r w:rsidR="00C71AD9" w:rsidRPr="00C71AD9">
        <w:rPr>
          <w:lang w:eastAsia="en-GB"/>
        </w:rPr>
        <w:t>o dai gestori nell’anno contabile di riferimento individuato in conformità alle previsioni contenute nell’articolo 7 del MTR-2</w:t>
      </w:r>
      <w:r w:rsidR="00FF5336">
        <w:rPr>
          <w:lang w:eastAsia="en-GB"/>
        </w:rPr>
        <w:t xml:space="preserve"> </w:t>
      </w:r>
      <w:r w:rsidR="002070F4">
        <w:rPr>
          <w:lang w:eastAsia="en-GB"/>
        </w:rPr>
        <w:t>aggiornato</w:t>
      </w:r>
      <w:r w:rsidR="00C71AD9" w:rsidRPr="00C71AD9">
        <w:rPr>
          <w:lang w:eastAsia="en-GB"/>
        </w:rPr>
        <w:t>.</w:t>
      </w:r>
    </w:p>
    <w:p w14:paraId="204EA895" w14:textId="17C54204" w:rsidR="00C71AD9" w:rsidRDefault="00DB46B1" w:rsidP="00B96095">
      <w:pPr>
        <w:rPr>
          <w:iCs/>
          <w:lang w:eastAsia="en-GB"/>
        </w:rPr>
      </w:pPr>
      <w:r w:rsidRPr="00773DFA">
        <w:rPr>
          <w:lang w:eastAsia="en-GB"/>
        </w:rPr>
        <w:t xml:space="preserve">A tal fine </w:t>
      </w:r>
      <w:r w:rsidR="00C71AD9" w:rsidRPr="00C71AD9">
        <w:rPr>
          <w:iCs/>
          <w:lang w:eastAsia="en-GB"/>
        </w:rPr>
        <w:t>il gestore dovrà innanzitutto, ove rilevante, dar conto dei criteri utilizzati per la disaggregazione dei costi afferenti alle attività del servizio integrato di gestione rifiuti da quelli afferenti ad attività (</w:t>
      </w:r>
      <w:r w:rsidR="00C71AD9" w:rsidRPr="00C71AD9">
        <w:rPr>
          <w:i/>
          <w:iCs/>
          <w:lang w:eastAsia="en-GB"/>
        </w:rPr>
        <w:t>business</w:t>
      </w:r>
      <w:r w:rsidR="00C71AD9" w:rsidRPr="00C71AD9">
        <w:rPr>
          <w:iCs/>
          <w:lang w:eastAsia="en-GB"/>
        </w:rPr>
        <w:t>) diverse dalla gestione del ciclo dei rifiuti e/o ad attività esterne al servizio di gestione rifiuti come definite nel MTR-2</w:t>
      </w:r>
      <w:r w:rsidR="00AB539E">
        <w:rPr>
          <w:iCs/>
          <w:lang w:eastAsia="en-GB"/>
        </w:rPr>
        <w:t xml:space="preserve"> aggiornato</w:t>
      </w:r>
      <w:r w:rsidR="00C71AD9">
        <w:rPr>
          <w:iCs/>
          <w:lang w:eastAsia="en-GB"/>
        </w:rPr>
        <w:t xml:space="preserve">. </w:t>
      </w:r>
    </w:p>
    <w:p w14:paraId="2FA17A4D" w14:textId="5AC15CE6" w:rsidR="00C71AD9" w:rsidRPr="00C71AD9" w:rsidRDefault="00C71AD9" w:rsidP="00C71AD9">
      <w:pPr>
        <w:rPr>
          <w:iCs/>
          <w:lang w:eastAsia="en-GB"/>
        </w:rPr>
      </w:pPr>
      <w:r w:rsidRPr="00C71AD9">
        <w:rPr>
          <w:iCs/>
          <w:lang w:eastAsia="en-GB"/>
        </w:rPr>
        <w:t>In secondo luogo, il gestore dovrà dare separata evidenza delle rettifiche effettuate</w:t>
      </w:r>
      <w:r w:rsidR="00927FEF">
        <w:rPr>
          <w:iCs/>
          <w:lang w:eastAsia="en-GB"/>
        </w:rPr>
        <w:t>,</w:t>
      </w:r>
      <w:r w:rsidRPr="00C71AD9">
        <w:rPr>
          <w:iCs/>
          <w:lang w:eastAsia="en-GB"/>
        </w:rPr>
        <w:t xml:space="preserve"> in conformità all’articolo 7.3 del MTR-2</w:t>
      </w:r>
      <w:r w:rsidR="00964E93">
        <w:rPr>
          <w:iCs/>
          <w:lang w:eastAsia="en-GB"/>
        </w:rPr>
        <w:t xml:space="preserve"> aggiornato</w:t>
      </w:r>
      <w:r w:rsidR="00927FEF">
        <w:rPr>
          <w:iCs/>
          <w:lang w:eastAsia="en-GB"/>
        </w:rPr>
        <w:t>,</w:t>
      </w:r>
      <w:r w:rsidRPr="00C71AD9">
        <w:rPr>
          <w:iCs/>
          <w:lang w:eastAsia="en-GB"/>
        </w:rPr>
        <w:t xml:space="preserve"> </w:t>
      </w:r>
      <w:r w:rsidR="00927FEF">
        <w:rPr>
          <w:iCs/>
          <w:lang w:eastAsia="en-GB"/>
        </w:rPr>
        <w:t>su</w:t>
      </w:r>
      <w:r w:rsidR="00927FEF" w:rsidRPr="00C71AD9">
        <w:rPr>
          <w:iCs/>
          <w:lang w:eastAsia="en-GB"/>
        </w:rPr>
        <w:t xml:space="preserve">i </w:t>
      </w:r>
      <w:r w:rsidRPr="00C71AD9">
        <w:rPr>
          <w:iCs/>
          <w:lang w:eastAsia="en-GB"/>
        </w:rPr>
        <w:t>dati di conto economico</w:t>
      </w:r>
      <w:r w:rsidR="00033377">
        <w:rPr>
          <w:iCs/>
          <w:lang w:eastAsia="en-GB"/>
        </w:rPr>
        <w:t>, relativamente a</w:t>
      </w:r>
      <w:r w:rsidRPr="00C71AD9">
        <w:rPr>
          <w:iCs/>
          <w:lang w:eastAsia="en-GB"/>
        </w:rPr>
        <w:t>:</w:t>
      </w:r>
    </w:p>
    <w:p w14:paraId="301915C1" w14:textId="698A6283" w:rsidR="00C71AD9" w:rsidRPr="00C71AD9" w:rsidRDefault="00C71AD9" w:rsidP="00C71AD9">
      <w:pPr>
        <w:numPr>
          <w:ilvl w:val="0"/>
          <w:numId w:val="57"/>
        </w:numPr>
        <w:rPr>
          <w:iCs/>
          <w:lang w:eastAsia="en-GB"/>
        </w:rPr>
      </w:pPr>
      <w:r w:rsidRPr="00C71AD9">
        <w:rPr>
          <w:iCs/>
          <w:lang w:eastAsia="en-GB"/>
        </w:rPr>
        <w:t>i costi attribuibili alle attività capitalizzate (per esempio gli ammortamenti così come valorizzati sulla base delle regole per la redazione del bilanci</w:t>
      </w:r>
      <w:r w:rsidR="0071129B">
        <w:rPr>
          <w:iCs/>
          <w:lang w:eastAsia="en-GB"/>
        </w:rPr>
        <w:t>o</w:t>
      </w:r>
      <w:r w:rsidRPr="00C71AD9">
        <w:rPr>
          <w:iCs/>
          <w:lang w:eastAsia="en-GB"/>
        </w:rPr>
        <w:t>)</w:t>
      </w:r>
      <w:r w:rsidR="00626773">
        <w:rPr>
          <w:iCs/>
          <w:lang w:eastAsia="en-GB"/>
        </w:rPr>
        <w:t>;</w:t>
      </w:r>
    </w:p>
    <w:p w14:paraId="4D644BC1" w14:textId="7CF22BFB" w:rsidR="00C71AD9" w:rsidRPr="00C71AD9" w:rsidRDefault="00C71AD9" w:rsidP="00C71AD9">
      <w:pPr>
        <w:numPr>
          <w:ilvl w:val="0"/>
          <w:numId w:val="57"/>
        </w:numPr>
        <w:rPr>
          <w:iCs/>
          <w:lang w:eastAsia="en-GB"/>
        </w:rPr>
      </w:pPr>
      <w:r w:rsidRPr="00C71AD9">
        <w:rPr>
          <w:iCs/>
          <w:lang w:eastAsia="en-GB"/>
        </w:rPr>
        <w:t>le “poste rettificative” delle voci di costo operativo di cui all’articolo 1, comma 1 del MTR-2</w:t>
      </w:r>
      <w:r w:rsidR="00FC51D1">
        <w:rPr>
          <w:iCs/>
          <w:lang w:eastAsia="en-GB"/>
        </w:rPr>
        <w:t xml:space="preserve"> aggiornato</w:t>
      </w:r>
      <w:r w:rsidRPr="00C71AD9">
        <w:rPr>
          <w:iCs/>
          <w:lang w:eastAsia="en-GB"/>
        </w:rPr>
        <w:t>;</w:t>
      </w:r>
    </w:p>
    <w:p w14:paraId="1BBAFF43" w14:textId="1A0CC3BB" w:rsidR="00C71AD9" w:rsidRPr="00C71AD9" w:rsidRDefault="00C71AD9" w:rsidP="00C71AD9">
      <w:pPr>
        <w:numPr>
          <w:ilvl w:val="0"/>
          <w:numId w:val="57"/>
        </w:numPr>
        <w:rPr>
          <w:iCs/>
          <w:lang w:eastAsia="en-GB"/>
        </w:rPr>
      </w:pPr>
      <w:r w:rsidRPr="00C71AD9">
        <w:rPr>
          <w:iCs/>
          <w:lang w:eastAsia="en-GB"/>
        </w:rPr>
        <w:t xml:space="preserve">i costi sostenuti per il conseguimento dei </w:t>
      </w:r>
      <w:r w:rsidRPr="00C71AD9">
        <w:rPr>
          <w:i/>
          <w:iCs/>
          <w:lang w:eastAsia="en-GB"/>
        </w:rPr>
        <w:t>target</w:t>
      </w:r>
      <w:r w:rsidRPr="00C71AD9">
        <w:rPr>
          <w:iCs/>
          <w:lang w:eastAsia="en-GB"/>
        </w:rPr>
        <w:t xml:space="preserve"> cui è stata associata (in sede di determinazione delle entrate tariffarie riferite a precedenti annualità) la valorizzazione di costi operativi incentivanti di natura previsionale</w:t>
      </w:r>
      <w:r w:rsidR="00B3496C">
        <w:rPr>
          <w:iCs/>
          <w:lang w:eastAsia="en-GB"/>
        </w:rPr>
        <w:t xml:space="preserve"> (COI)</w:t>
      </w:r>
      <w:r w:rsidR="006433F1">
        <w:rPr>
          <w:iCs/>
          <w:lang w:eastAsia="en-GB"/>
        </w:rPr>
        <w:t>;</w:t>
      </w:r>
    </w:p>
    <w:p w14:paraId="677824C2" w14:textId="76BD9367" w:rsidR="00C71AD9" w:rsidRPr="00C71AD9" w:rsidRDefault="00C71AD9" w:rsidP="00C71AD9">
      <w:pPr>
        <w:numPr>
          <w:ilvl w:val="0"/>
          <w:numId w:val="57"/>
        </w:numPr>
        <w:rPr>
          <w:iCs/>
          <w:lang w:eastAsia="en-GB"/>
        </w:rPr>
      </w:pPr>
      <w:r w:rsidRPr="00C71AD9">
        <w:rPr>
          <w:iCs/>
          <w:lang w:eastAsia="en-GB"/>
        </w:rPr>
        <w:t>gli scostamenti già intercettati attraverso la valorizzazione (in sede di determinazione delle entrate tariffarie riferite a precedenti annualità) delle ulteriori componenti di costo di natura previsionale introdotte dalla regolazione pro tempore vigente</w:t>
      </w:r>
      <w:r w:rsidR="001E1184">
        <w:rPr>
          <w:iCs/>
          <w:lang w:eastAsia="en-GB"/>
        </w:rPr>
        <w:t xml:space="preserve"> </w:t>
      </w:r>
      <w:r w:rsidR="00802C81">
        <w:rPr>
          <w:iCs/>
          <w:lang w:eastAsia="en-GB"/>
        </w:rPr>
        <w:t>(CQ, CO</w:t>
      </w:r>
      <w:r w:rsidR="00802C81" w:rsidRPr="00811E6B">
        <w:rPr>
          <w:iCs/>
          <w:vertAlign w:val="subscript"/>
          <w:lang w:eastAsia="en-GB"/>
        </w:rPr>
        <w:t>116</w:t>
      </w:r>
      <w:r w:rsidR="00802C81">
        <w:rPr>
          <w:iCs/>
          <w:lang w:eastAsia="en-GB"/>
        </w:rPr>
        <w:t>)</w:t>
      </w:r>
      <w:r w:rsidRPr="00C71AD9">
        <w:rPr>
          <w:iCs/>
          <w:lang w:eastAsia="en-GB"/>
        </w:rPr>
        <w:t xml:space="preserve">, tenuto conto della quantificazione dei pertinenti recuperi nell’ambito delle componenti a conguaglio.  </w:t>
      </w:r>
    </w:p>
    <w:p w14:paraId="3EF13842" w14:textId="31B58FF0" w:rsidR="00C71AD9" w:rsidRDefault="00C71AD9" w:rsidP="00B96095">
      <w:pPr>
        <w:rPr>
          <w:lang w:eastAsia="en-GB"/>
        </w:rPr>
      </w:pPr>
      <w:r w:rsidRPr="00C71AD9">
        <w:rPr>
          <w:lang w:eastAsia="en-GB"/>
        </w:rPr>
        <w:t xml:space="preserve">In terzo luogo, il gestore dovrà illustrare i criteri e gli eventuali </w:t>
      </w:r>
      <w:r w:rsidRPr="00243F7A">
        <w:rPr>
          <w:i/>
          <w:lang w:eastAsia="en-GB"/>
        </w:rPr>
        <w:t>driver</w:t>
      </w:r>
      <w:r w:rsidRPr="00C71AD9">
        <w:rPr>
          <w:lang w:eastAsia="en-GB"/>
        </w:rPr>
        <w:t xml:space="preserve"> utilizzati per l’allocazione dei dati così rettificati alle pertinenti componenti di costo (effettivo) variabile e fisso di cui al MTR-2</w:t>
      </w:r>
      <w:r w:rsidR="00C469AE">
        <w:rPr>
          <w:lang w:eastAsia="en-GB"/>
        </w:rPr>
        <w:t xml:space="preserve"> aggiornato</w:t>
      </w:r>
      <w:r w:rsidRPr="00C71AD9">
        <w:rPr>
          <w:lang w:eastAsia="en-GB"/>
        </w:rPr>
        <w:t>, anche con il supporto di strumenti grafici (tabelle) che colleghino il valore di ciascuna voce di conto economico con le componenti tariffarie rilevanti.</w:t>
      </w:r>
    </w:p>
    <w:p w14:paraId="6D284A8A" w14:textId="77777777" w:rsidR="00C71AD9" w:rsidRPr="00C71AD9" w:rsidRDefault="00C71AD9" w:rsidP="006F111D">
      <w:pPr>
        <w:spacing w:before="120"/>
        <w:rPr>
          <w:iCs/>
          <w:lang w:eastAsia="en-GB"/>
        </w:rPr>
      </w:pPr>
      <w:r w:rsidRPr="00C71AD9">
        <w:rPr>
          <w:iCs/>
          <w:lang w:eastAsia="en-GB"/>
        </w:rPr>
        <w:t>Con riferimento all’allocazione dei costi comuni (per esempio dei costi di struttura) il gestore:</w:t>
      </w:r>
    </w:p>
    <w:p w14:paraId="1FC20E53" w14:textId="5F66B06D" w:rsidR="009B03FD" w:rsidRPr="004D20A4" w:rsidRDefault="009B03FD" w:rsidP="006F111D">
      <w:pPr>
        <w:pStyle w:val="Paragrafoelenco"/>
        <w:numPr>
          <w:ilvl w:val="1"/>
          <w:numId w:val="110"/>
        </w:numPr>
        <w:spacing w:before="120"/>
        <w:ind w:left="426" w:hanging="426"/>
        <w:rPr>
          <w:iCs/>
          <w:sz w:val="24"/>
          <w:szCs w:val="24"/>
          <w:lang w:eastAsia="en-GB"/>
        </w:rPr>
      </w:pPr>
      <w:r w:rsidRPr="004D20A4">
        <w:rPr>
          <w:iCs/>
          <w:sz w:val="24"/>
          <w:szCs w:val="24"/>
          <w:lang w:eastAsia="en-GB"/>
        </w:rPr>
        <w:lastRenderedPageBreak/>
        <w:t>fornisce il dettaglio delle singole componenti di costo valorizzate:</w:t>
      </w:r>
    </w:p>
    <w:p w14:paraId="72AC5952" w14:textId="26126F2D" w:rsidR="009B03FD" w:rsidRPr="008A00F8" w:rsidRDefault="009B03FD" w:rsidP="006F111D">
      <w:pPr>
        <w:pStyle w:val="Paragrafoelenco"/>
        <w:numPr>
          <w:ilvl w:val="0"/>
          <w:numId w:val="30"/>
        </w:numPr>
        <w:spacing w:before="120" w:after="120"/>
        <w:ind w:left="714" w:hanging="357"/>
        <w:jc w:val="both"/>
        <w:rPr>
          <w:iCs/>
          <w:lang w:eastAsia="en-GB"/>
        </w:rPr>
      </w:pPr>
      <w:r w:rsidRPr="003B100B">
        <w:rPr>
          <w:i/>
          <w:sz w:val="24"/>
          <w:szCs w:val="24"/>
          <w:lang w:eastAsia="en-GB"/>
        </w:rPr>
        <w:t>CARC</w:t>
      </w:r>
      <w:r w:rsidRPr="003B100B">
        <w:rPr>
          <w:i/>
          <w:sz w:val="24"/>
          <w:szCs w:val="24"/>
          <w:vertAlign w:val="subscript"/>
          <w:lang w:eastAsia="en-GB"/>
        </w:rPr>
        <w:t>a</w:t>
      </w:r>
      <w:r w:rsidRPr="00DA573E">
        <w:rPr>
          <w:iCs/>
          <w:sz w:val="24"/>
          <w:szCs w:val="24"/>
          <w:lang w:eastAsia="en-GB"/>
        </w:rPr>
        <w:t xml:space="preserve"> (accertamento e riscossione e/o gestione rapporti con gli utenti e/o gestione banca dati degli utenti e delle utenze, dei crediti e del contenzioso e/o promozione di </w:t>
      </w:r>
      <w:r w:rsidRPr="00BC1E8A">
        <w:rPr>
          <w:iCs/>
          <w:sz w:val="24"/>
          <w:szCs w:val="24"/>
          <w:lang w:eastAsia="en-GB"/>
        </w:rPr>
        <w:t xml:space="preserve">campagne informative e di educazione ambientale e/o misure di prevenzione della produzione di rifiuti); </w:t>
      </w:r>
    </w:p>
    <w:p w14:paraId="58EB9074" w14:textId="2C3FE438" w:rsidR="009B03FD" w:rsidRPr="008A00F8" w:rsidRDefault="009B03FD" w:rsidP="00BC1E8A">
      <w:pPr>
        <w:pStyle w:val="Paragrafoelenco"/>
        <w:numPr>
          <w:ilvl w:val="0"/>
          <w:numId w:val="30"/>
        </w:numPr>
        <w:spacing w:before="120" w:after="120"/>
        <w:ind w:left="714" w:hanging="357"/>
        <w:jc w:val="both"/>
        <w:rPr>
          <w:iCs/>
          <w:lang w:eastAsia="en-GB"/>
        </w:rPr>
      </w:pPr>
      <w:r w:rsidRPr="003B100B">
        <w:rPr>
          <w:i/>
          <w:sz w:val="24"/>
          <w:szCs w:val="24"/>
          <w:lang w:eastAsia="en-GB"/>
        </w:rPr>
        <w:t>CGG</w:t>
      </w:r>
      <w:r w:rsidRPr="003B100B">
        <w:rPr>
          <w:i/>
          <w:sz w:val="24"/>
          <w:szCs w:val="24"/>
          <w:vertAlign w:val="subscript"/>
          <w:lang w:eastAsia="en-GB"/>
        </w:rPr>
        <w:t>a</w:t>
      </w:r>
      <w:r w:rsidRPr="00BC1E8A">
        <w:rPr>
          <w:iCs/>
          <w:sz w:val="24"/>
          <w:szCs w:val="24"/>
          <w:lang w:eastAsia="en-GB"/>
        </w:rPr>
        <w:t xml:space="preserve"> (costi relativi al personale non direttamente impiegato nelle attività operative del servizio di gestione RU ed ai costi di struttura);</w:t>
      </w:r>
    </w:p>
    <w:p w14:paraId="6011A11C" w14:textId="2A230E23" w:rsidR="009B03FD" w:rsidRPr="008A00F8" w:rsidRDefault="009B03FD" w:rsidP="00BC1E8A">
      <w:pPr>
        <w:pStyle w:val="Paragrafoelenco"/>
        <w:numPr>
          <w:ilvl w:val="0"/>
          <w:numId w:val="30"/>
        </w:numPr>
        <w:spacing w:before="120" w:after="120"/>
        <w:ind w:left="714" w:hanging="357"/>
        <w:jc w:val="both"/>
        <w:rPr>
          <w:iCs/>
          <w:lang w:eastAsia="en-GB"/>
        </w:rPr>
      </w:pPr>
      <w:r w:rsidRPr="003B100B">
        <w:rPr>
          <w:i/>
          <w:sz w:val="24"/>
          <w:szCs w:val="24"/>
          <w:lang w:eastAsia="en-GB"/>
        </w:rPr>
        <w:t>CCD</w:t>
      </w:r>
      <w:r w:rsidRPr="003B100B">
        <w:rPr>
          <w:i/>
          <w:sz w:val="24"/>
          <w:szCs w:val="24"/>
          <w:vertAlign w:val="subscript"/>
          <w:lang w:eastAsia="en-GB"/>
        </w:rPr>
        <w:t>a</w:t>
      </w:r>
      <w:r w:rsidRPr="00BC1E8A">
        <w:rPr>
          <w:iCs/>
          <w:sz w:val="24"/>
          <w:szCs w:val="24"/>
          <w:lang w:eastAsia="en-GB"/>
        </w:rPr>
        <w:t xml:space="preserve"> (crediti inesigibili);</w:t>
      </w:r>
    </w:p>
    <w:p w14:paraId="1F5E8963" w14:textId="56A966AA" w:rsidR="009B03FD" w:rsidRPr="00DA573E" w:rsidRDefault="009B03FD" w:rsidP="00BC1E8A">
      <w:pPr>
        <w:pStyle w:val="Paragrafoelenco"/>
        <w:numPr>
          <w:ilvl w:val="0"/>
          <w:numId w:val="30"/>
        </w:numPr>
        <w:spacing w:before="120" w:after="120"/>
        <w:ind w:left="714" w:hanging="357"/>
        <w:jc w:val="both"/>
        <w:rPr>
          <w:iCs/>
          <w:lang w:eastAsia="en-GB"/>
        </w:rPr>
      </w:pPr>
      <w:r w:rsidRPr="003B100B">
        <w:rPr>
          <w:i/>
          <w:sz w:val="24"/>
          <w:szCs w:val="24"/>
          <w:lang w:eastAsia="en-GB"/>
        </w:rPr>
        <w:t>CO</w:t>
      </w:r>
      <w:r w:rsidRPr="003B100B">
        <w:rPr>
          <w:i/>
          <w:sz w:val="24"/>
          <w:szCs w:val="24"/>
          <w:vertAlign w:val="subscript"/>
          <w:lang w:eastAsia="en-GB"/>
        </w:rPr>
        <w:t>AL,a</w:t>
      </w:r>
      <w:r w:rsidRPr="00BC1E8A">
        <w:rPr>
          <w:iCs/>
          <w:sz w:val="24"/>
          <w:szCs w:val="24"/>
          <w:vertAlign w:val="subscript"/>
          <w:lang w:eastAsia="en-GB"/>
        </w:rPr>
        <w:t xml:space="preserve"> </w:t>
      </w:r>
      <w:r w:rsidRPr="00BC1E8A">
        <w:rPr>
          <w:iCs/>
          <w:sz w:val="24"/>
          <w:szCs w:val="24"/>
          <w:lang w:eastAsia="en-GB"/>
        </w:rPr>
        <w:t>(oneri di funzionamento degli Enti territorialmente competenti e/o di ARERA e/o eventuali oneri locali quali, oneri aggiuntivi per canoni/compensazioni territoriali, oneri per tributari locali, oneri relativi a fondi perequativi fissati dall’Ente territorialmente competente</w:t>
      </w:r>
      <w:r w:rsidRPr="00DA573E">
        <w:rPr>
          <w:sz w:val="24"/>
          <w:szCs w:val="24"/>
          <w:vertAlign w:val="superscript"/>
          <w:lang w:eastAsia="en-GB"/>
        </w:rPr>
        <w:footnoteReference w:id="4"/>
      </w:r>
      <w:r w:rsidRPr="00DA573E">
        <w:rPr>
          <w:iCs/>
          <w:sz w:val="24"/>
          <w:szCs w:val="24"/>
          <w:lang w:eastAsia="en-GB"/>
        </w:rPr>
        <w:t>, eventuali costi per la gestione post-operativa delle discariche e/o dei costi di chiusura determinat</w:t>
      </w:r>
      <w:r w:rsidR="00DA573E">
        <w:rPr>
          <w:iCs/>
          <w:sz w:val="24"/>
          <w:szCs w:val="24"/>
          <w:lang w:eastAsia="en-GB"/>
        </w:rPr>
        <w:t>i</w:t>
      </w:r>
      <w:r w:rsidRPr="00DA573E">
        <w:rPr>
          <w:iCs/>
          <w:sz w:val="24"/>
          <w:szCs w:val="24"/>
          <w:lang w:eastAsia="en-GB"/>
        </w:rPr>
        <w:t xml:space="preserve"> dall’Ente territorialmente competente). </w:t>
      </w:r>
    </w:p>
    <w:p w14:paraId="08C9691E" w14:textId="1A8850F1" w:rsidR="009B03FD" w:rsidRPr="00DE70F0" w:rsidRDefault="009B03FD" w:rsidP="00DE70F0">
      <w:pPr>
        <w:pStyle w:val="Paragrafoelenco"/>
        <w:numPr>
          <w:ilvl w:val="1"/>
          <w:numId w:val="110"/>
        </w:numPr>
        <w:ind w:left="426" w:hanging="426"/>
        <w:rPr>
          <w:iCs/>
          <w:sz w:val="24"/>
          <w:szCs w:val="24"/>
          <w:lang w:eastAsia="en-GB"/>
        </w:rPr>
      </w:pPr>
      <w:r w:rsidRPr="00DE70F0">
        <w:rPr>
          <w:iCs/>
          <w:sz w:val="24"/>
          <w:szCs w:val="24"/>
          <w:lang w:eastAsia="en-GB"/>
        </w:rPr>
        <w:t xml:space="preserve">illustra i </w:t>
      </w:r>
      <w:r w:rsidRPr="00DE70F0">
        <w:rPr>
          <w:i/>
          <w:sz w:val="24"/>
          <w:szCs w:val="24"/>
          <w:lang w:eastAsia="en-GB"/>
        </w:rPr>
        <w:t>driver</w:t>
      </w:r>
      <w:r w:rsidRPr="00DE70F0">
        <w:rPr>
          <w:iCs/>
          <w:sz w:val="24"/>
          <w:szCs w:val="24"/>
          <w:lang w:eastAsia="en-GB"/>
        </w:rPr>
        <w:t xml:space="preserve"> di costo impiegati per l</w:t>
      </w:r>
      <w:r w:rsidR="00EA1558" w:rsidRPr="00DE70F0">
        <w:rPr>
          <w:iCs/>
          <w:sz w:val="24"/>
          <w:szCs w:val="24"/>
          <w:lang w:eastAsia="en-GB"/>
        </w:rPr>
        <w:t xml:space="preserve">’imputazione di tali costi </w:t>
      </w:r>
      <w:r w:rsidRPr="00DE70F0">
        <w:rPr>
          <w:iCs/>
          <w:sz w:val="24"/>
          <w:szCs w:val="24"/>
          <w:lang w:eastAsia="en-GB"/>
        </w:rPr>
        <w:t>al servizio</w:t>
      </w:r>
      <w:r w:rsidR="00EA1558" w:rsidRPr="00DE70F0">
        <w:rPr>
          <w:iCs/>
          <w:sz w:val="24"/>
          <w:szCs w:val="24"/>
          <w:lang w:eastAsia="en-GB"/>
        </w:rPr>
        <w:t xml:space="preserve"> di gestione dei</w:t>
      </w:r>
      <w:r w:rsidRPr="00DE70F0">
        <w:rPr>
          <w:iCs/>
          <w:sz w:val="24"/>
          <w:szCs w:val="24"/>
          <w:lang w:eastAsia="en-GB"/>
        </w:rPr>
        <w:t xml:space="preserve"> rifiuti urbani.</w:t>
      </w:r>
    </w:p>
    <w:p w14:paraId="737D661B" w14:textId="661F2A56" w:rsidR="009B03FD" w:rsidRPr="009B03FD" w:rsidRDefault="009B03FD" w:rsidP="009B03FD">
      <w:pPr>
        <w:rPr>
          <w:lang w:eastAsia="en-GB"/>
        </w:rPr>
      </w:pPr>
      <w:r w:rsidRPr="009B03FD">
        <w:rPr>
          <w:lang w:eastAsia="en-GB"/>
        </w:rPr>
        <w:t>Il</w:t>
      </w:r>
      <w:r w:rsidR="00DD1EF4">
        <w:rPr>
          <w:lang w:eastAsia="en-GB"/>
        </w:rPr>
        <w:t xml:space="preserve"> comune </w:t>
      </w:r>
      <w:r w:rsidR="00BB7BE2" w:rsidRPr="00106438">
        <w:rPr>
          <w:lang w:eastAsia="en-GB"/>
        </w:rPr>
        <w:t>che gestisce in economia uno o più dei servizi di gestione dei rifiuti urbani</w:t>
      </w:r>
      <w:r w:rsidR="00BB7BE2">
        <w:rPr>
          <w:lang w:eastAsia="en-GB"/>
        </w:rPr>
        <w:t xml:space="preserve"> </w:t>
      </w:r>
      <w:r w:rsidRPr="009B03FD">
        <w:rPr>
          <w:lang w:eastAsia="en-GB"/>
        </w:rPr>
        <w:t>dovrà dare separata evidenza delle eventuali quote di costo relative all’IVA indetraibile, in coerenza con quanto riportato nell</w:t>
      </w:r>
      <w:r>
        <w:rPr>
          <w:lang w:eastAsia="en-GB"/>
        </w:rPr>
        <w:t>’A</w:t>
      </w:r>
      <w:r w:rsidR="008B1E39">
        <w:rPr>
          <w:lang w:eastAsia="en-GB"/>
        </w:rPr>
        <w:t>llegato</w:t>
      </w:r>
      <w:r>
        <w:rPr>
          <w:lang w:eastAsia="en-GB"/>
        </w:rPr>
        <w:t xml:space="preserve"> 1</w:t>
      </w:r>
      <w:r w:rsidR="000B6A4E">
        <w:rPr>
          <w:lang w:eastAsia="en-GB"/>
        </w:rPr>
        <w:t xml:space="preserve"> </w:t>
      </w:r>
      <w:r w:rsidR="000B6A4E" w:rsidRPr="007A5972">
        <w:rPr>
          <w:i/>
          <w:iCs/>
          <w:lang w:eastAsia="en-GB"/>
        </w:rPr>
        <w:t>Tool</w:t>
      </w:r>
      <w:r w:rsidR="000B6A4E">
        <w:rPr>
          <w:lang w:eastAsia="en-GB"/>
        </w:rPr>
        <w:t xml:space="preserve"> di calcolo</w:t>
      </w:r>
      <w:r>
        <w:rPr>
          <w:lang w:eastAsia="en-GB"/>
        </w:rPr>
        <w:t>.</w:t>
      </w:r>
    </w:p>
    <w:p w14:paraId="6726E4A0" w14:textId="77777777" w:rsidR="00AA1BDF" w:rsidRPr="00773DFA" w:rsidRDefault="00AA1BDF" w:rsidP="00CF3168"/>
    <w:p w14:paraId="5A1DC483" w14:textId="6EECF95A" w:rsidR="00CF3168" w:rsidRPr="00773DFA" w:rsidRDefault="00CF3168" w:rsidP="00722AD4">
      <w:pPr>
        <w:pStyle w:val="Titolo3"/>
        <w:tabs>
          <w:tab w:val="clear" w:pos="4831"/>
          <w:tab w:val="num" w:pos="720"/>
        </w:tabs>
        <w:ind w:left="720"/>
      </w:pPr>
      <w:bookmarkStart w:id="77" w:name="_Toc149660943"/>
      <w:bookmarkStart w:id="78" w:name="_Toc86134957"/>
      <w:bookmarkStart w:id="79" w:name="_Toc86135046"/>
      <w:bookmarkStart w:id="80" w:name="_Toc86135640"/>
      <w:r w:rsidRPr="00773DFA">
        <w:t xml:space="preserve">Focus </w:t>
      </w:r>
      <w:r w:rsidRPr="00CE3D8E">
        <w:t>su</w:t>
      </w:r>
      <w:r w:rsidR="001001E2" w:rsidRPr="00CE3D8E">
        <w:t>gl</w:t>
      </w:r>
      <w:r w:rsidR="006C2EA8" w:rsidRPr="00CE3D8E">
        <w:t xml:space="preserve">i </w:t>
      </w:r>
      <w:r w:rsidR="001001E2" w:rsidRPr="00CE3D8E">
        <w:t xml:space="preserve">altri </w:t>
      </w:r>
      <w:r w:rsidR="006C2EA8" w:rsidRPr="00CE3D8E">
        <w:t>ricavi</w:t>
      </w:r>
      <w:bookmarkEnd w:id="77"/>
      <w:r w:rsidR="006C2EA8" w:rsidRPr="00773DFA">
        <w:t xml:space="preserve"> </w:t>
      </w:r>
      <w:bookmarkEnd w:id="78"/>
      <w:bookmarkEnd w:id="79"/>
      <w:bookmarkEnd w:id="80"/>
    </w:p>
    <w:p w14:paraId="765C3AA8" w14:textId="615B76BC" w:rsidR="009B03FD" w:rsidRPr="00AB61D1" w:rsidRDefault="009B03FD" w:rsidP="00722AD4">
      <w:bookmarkStart w:id="81" w:name="_Toc86003355"/>
      <w:r w:rsidRPr="009B03FD">
        <w:rPr>
          <w:lang w:eastAsia="en-GB"/>
        </w:rPr>
        <w:t xml:space="preserve">Il soggetto preposto all’attività di avvio a riciclaggio di una o più delle frazioni differenziate </w:t>
      </w:r>
      <w:r w:rsidR="009709B4">
        <w:rPr>
          <w:lang w:eastAsia="en-GB"/>
        </w:rPr>
        <w:t>e/</w:t>
      </w:r>
      <w:r w:rsidRPr="009B03FD">
        <w:rPr>
          <w:lang w:eastAsia="en-GB"/>
        </w:rPr>
        <w:t xml:space="preserve">o alla cessione sul mercato </w:t>
      </w:r>
      <w:r w:rsidR="009709B4">
        <w:rPr>
          <w:lang w:eastAsia="en-GB"/>
        </w:rPr>
        <w:t>dell’eventuale</w:t>
      </w:r>
      <w:r w:rsidRPr="009B03FD">
        <w:rPr>
          <w:lang w:eastAsia="en-GB"/>
        </w:rPr>
        <w:t xml:space="preserve"> energia</w:t>
      </w:r>
      <w:r w:rsidR="001F0234">
        <w:rPr>
          <w:lang w:eastAsia="en-GB"/>
        </w:rPr>
        <w:t xml:space="preserve"> prodotta dai rifiuti</w:t>
      </w:r>
      <w:r w:rsidRPr="009B03FD">
        <w:rPr>
          <w:lang w:eastAsia="en-GB"/>
        </w:rPr>
        <w:t xml:space="preserve"> fornisce il dettaglio delle singole voci di ricavo di propria competenza, distinguendo tra i ricavi derivanti dai corrispettivi riconosciuti dei sistemi collettivi di </w:t>
      </w:r>
      <w:r w:rsidRPr="00243F7A">
        <w:rPr>
          <w:i/>
          <w:lang w:eastAsia="en-GB"/>
        </w:rPr>
        <w:t>compliance</w:t>
      </w:r>
      <w:r w:rsidRPr="009B03FD">
        <w:rPr>
          <w:lang w:eastAsia="en-GB"/>
        </w:rPr>
        <w:t xml:space="preserve"> </w:t>
      </w:r>
      <w:r w:rsidR="00BE211A" w:rsidRPr="009B03FD">
        <w:rPr>
          <w:lang w:eastAsia="en-GB"/>
        </w:rPr>
        <w:t xml:space="preserve">agli obblighi di responsabilità estesa del produttore per il settore degli imballaggi </w:t>
      </w:r>
      <w:r w:rsidRPr="009B03FD">
        <w:rPr>
          <w:lang w:eastAsia="en-GB"/>
        </w:rPr>
        <w:t>(Consorzi del sistema CONAI o Consorzi autonomi)</w:t>
      </w:r>
      <w:r w:rsidR="00BE211A">
        <w:rPr>
          <w:lang w:eastAsia="en-GB"/>
        </w:rPr>
        <w:t xml:space="preserve"> e ad analoghi obblighi </w:t>
      </w:r>
      <w:r w:rsidR="001776F0">
        <w:rPr>
          <w:lang w:eastAsia="en-GB"/>
        </w:rPr>
        <w:t>relativi a filiere di settori diversi</w:t>
      </w:r>
      <w:r w:rsidRPr="009B03FD">
        <w:rPr>
          <w:lang w:eastAsia="en-GB"/>
        </w:rPr>
        <w:t xml:space="preserve"> (</w:t>
      </w:r>
      <w:r w:rsidR="00D83BEA">
        <w:rPr>
          <w:lang w:eastAsia="en-GB"/>
        </w:rPr>
        <w:t xml:space="preserve">da allocare alla componente </w:t>
      </w:r>
      <w:r w:rsidRPr="003B100B">
        <w:rPr>
          <w:i/>
          <w:iCs/>
          <w:lang w:eastAsia="en-GB"/>
        </w:rPr>
        <w:t>AR</w:t>
      </w:r>
      <w:r w:rsidRPr="003B100B">
        <w:rPr>
          <w:i/>
          <w:iCs/>
          <w:vertAlign w:val="subscript"/>
          <w:lang w:eastAsia="en-GB"/>
        </w:rPr>
        <w:t>SC</w:t>
      </w:r>
      <w:r w:rsidR="005E308A" w:rsidRPr="003B100B">
        <w:rPr>
          <w:i/>
          <w:iCs/>
          <w:vertAlign w:val="subscript"/>
          <w:lang w:eastAsia="en-GB"/>
        </w:rPr>
        <w:t>,</w:t>
      </w:r>
      <w:r w:rsidRPr="003B100B">
        <w:rPr>
          <w:i/>
          <w:iCs/>
          <w:vertAlign w:val="subscript"/>
          <w:lang w:eastAsia="en-GB"/>
        </w:rPr>
        <w:t>a</w:t>
      </w:r>
      <w:r w:rsidRPr="009B03FD">
        <w:rPr>
          <w:lang w:eastAsia="en-GB"/>
        </w:rPr>
        <w:t xml:space="preserve">) ed i ricavi derivanti dalla vendita di materiale </w:t>
      </w:r>
      <w:r w:rsidR="00291617" w:rsidRPr="009B03FD">
        <w:rPr>
          <w:lang w:eastAsia="en-GB"/>
        </w:rPr>
        <w:t xml:space="preserve">al di fuori </w:t>
      </w:r>
      <w:r w:rsidR="00121E4C">
        <w:rPr>
          <w:lang w:eastAsia="en-GB"/>
        </w:rPr>
        <w:t xml:space="preserve">dei sopra richiamati </w:t>
      </w:r>
      <w:r w:rsidR="00291617" w:rsidRPr="009B03FD">
        <w:rPr>
          <w:lang w:eastAsia="en-GB"/>
        </w:rPr>
        <w:t xml:space="preserve">sistemi collettivi </w:t>
      </w:r>
      <w:r w:rsidRPr="009B03FD">
        <w:rPr>
          <w:lang w:eastAsia="en-GB"/>
        </w:rPr>
        <w:t>e</w:t>
      </w:r>
      <w:r w:rsidR="00121E4C">
        <w:rPr>
          <w:lang w:eastAsia="en-GB"/>
        </w:rPr>
        <w:t xml:space="preserve"> dalla cessione sul mercato </w:t>
      </w:r>
      <w:r w:rsidRPr="009B03FD">
        <w:rPr>
          <w:lang w:eastAsia="en-GB"/>
        </w:rPr>
        <w:t>d</w:t>
      </w:r>
      <w:r w:rsidR="00121E4C">
        <w:rPr>
          <w:lang w:eastAsia="en-GB"/>
        </w:rPr>
        <w:t>i</w:t>
      </w:r>
      <w:r w:rsidRPr="009B03FD">
        <w:rPr>
          <w:lang w:eastAsia="en-GB"/>
        </w:rPr>
        <w:t xml:space="preserve"> energia derivante dai rifiuti (</w:t>
      </w:r>
      <w:r w:rsidR="00D83BEA">
        <w:rPr>
          <w:lang w:eastAsia="en-GB"/>
        </w:rPr>
        <w:t xml:space="preserve">da allocare alla componente </w:t>
      </w:r>
      <w:r w:rsidRPr="003B100B">
        <w:rPr>
          <w:i/>
          <w:iCs/>
          <w:lang w:eastAsia="en-GB"/>
        </w:rPr>
        <w:t>AR</w:t>
      </w:r>
      <w:r w:rsidRPr="003B100B">
        <w:rPr>
          <w:i/>
          <w:iCs/>
          <w:vertAlign w:val="subscript"/>
          <w:lang w:eastAsia="en-GB"/>
        </w:rPr>
        <w:t>a</w:t>
      </w:r>
      <w:r w:rsidRPr="009B03FD">
        <w:rPr>
          <w:lang w:eastAsia="en-GB"/>
        </w:rPr>
        <w:t>).</w:t>
      </w:r>
      <w:bookmarkEnd w:id="81"/>
      <w:r w:rsidR="00B61593">
        <w:rPr>
          <w:lang w:eastAsia="en-GB"/>
        </w:rPr>
        <w:t xml:space="preserve"> </w:t>
      </w:r>
    </w:p>
    <w:p w14:paraId="798981A4" w14:textId="0F14704F" w:rsidR="009B03FD" w:rsidRPr="009B03FD" w:rsidRDefault="009B03FD" w:rsidP="009B03FD">
      <w:pPr>
        <w:rPr>
          <w:lang w:eastAsia="en-GB"/>
        </w:rPr>
      </w:pPr>
      <w:r w:rsidRPr="009B03FD">
        <w:rPr>
          <w:lang w:eastAsia="en-GB"/>
        </w:rPr>
        <w:t>Relativamente ai ricavi derivanti da vendita di materiali ed energia</w:t>
      </w:r>
      <w:r w:rsidR="00EA1359">
        <w:rPr>
          <w:lang w:eastAsia="en-GB"/>
        </w:rPr>
        <w:t xml:space="preserve"> </w:t>
      </w:r>
      <w:r w:rsidR="00EA1359" w:rsidRPr="009B03FD">
        <w:rPr>
          <w:lang w:eastAsia="en-GB"/>
        </w:rPr>
        <w:t>(</w:t>
      </w:r>
      <w:r w:rsidR="00EA1359" w:rsidRPr="003B100B">
        <w:rPr>
          <w:i/>
          <w:iCs/>
          <w:lang w:eastAsia="en-GB"/>
        </w:rPr>
        <w:t>AR</w:t>
      </w:r>
      <w:r w:rsidR="00EA1359" w:rsidRPr="003B100B">
        <w:rPr>
          <w:i/>
          <w:iCs/>
          <w:vertAlign w:val="subscript"/>
          <w:lang w:eastAsia="en-GB"/>
        </w:rPr>
        <w:t>a</w:t>
      </w:r>
      <w:r w:rsidR="00EA1359" w:rsidRPr="009B03FD">
        <w:rPr>
          <w:lang w:eastAsia="en-GB"/>
        </w:rPr>
        <w:t>)</w:t>
      </w:r>
      <w:r w:rsidRPr="009B03FD">
        <w:rPr>
          <w:lang w:eastAsia="en-GB"/>
        </w:rPr>
        <w:t xml:space="preserve">, occorre </w:t>
      </w:r>
      <w:r w:rsidR="000E51DF">
        <w:rPr>
          <w:lang w:eastAsia="en-GB"/>
        </w:rPr>
        <w:t>infine</w:t>
      </w:r>
      <w:r w:rsidR="000E51DF" w:rsidRPr="009B03FD">
        <w:rPr>
          <w:lang w:eastAsia="en-GB"/>
        </w:rPr>
        <w:t xml:space="preserve"> </w:t>
      </w:r>
      <w:r w:rsidRPr="009B03FD">
        <w:rPr>
          <w:lang w:eastAsia="en-GB"/>
        </w:rPr>
        <w:t xml:space="preserve">specificare se sono o meno ricompresi anche ricavi afferenti a servizi diversi dal servizio integrato di gestione dei rifiuti ma effettuati avvalendosi di </w:t>
      </w:r>
      <w:r w:rsidRPr="00243F7A">
        <w:rPr>
          <w:i/>
          <w:lang w:eastAsia="en-GB"/>
        </w:rPr>
        <w:t>asset</w:t>
      </w:r>
      <w:r w:rsidRPr="009B03FD">
        <w:rPr>
          <w:lang w:eastAsia="en-GB"/>
        </w:rPr>
        <w:t xml:space="preserve"> e risorse di tale servizio: in caso affermativo ne viene data separata evidenza.  </w:t>
      </w:r>
    </w:p>
    <w:p w14:paraId="018B3871" w14:textId="77777777" w:rsidR="00EE00B1" w:rsidRPr="009B03FD" w:rsidRDefault="00EE00B1" w:rsidP="009B03FD">
      <w:pPr>
        <w:rPr>
          <w:lang w:eastAsia="en-GB"/>
        </w:rPr>
      </w:pPr>
    </w:p>
    <w:p w14:paraId="2F4AFBC8" w14:textId="0F239922" w:rsidR="009B03FD" w:rsidRDefault="009B03FD" w:rsidP="009B03FD">
      <w:pPr>
        <w:pStyle w:val="Titolo3"/>
        <w:tabs>
          <w:tab w:val="clear" w:pos="4831"/>
          <w:tab w:val="num" w:pos="720"/>
        </w:tabs>
        <w:ind w:left="720"/>
      </w:pPr>
      <w:bookmarkStart w:id="82" w:name="_Toc86003356"/>
      <w:bookmarkStart w:id="83" w:name="_Toc86055972"/>
      <w:bookmarkStart w:id="84" w:name="_Toc86134958"/>
      <w:bookmarkStart w:id="85" w:name="_Toc86135047"/>
      <w:bookmarkStart w:id="86" w:name="_Toc86135641"/>
      <w:bookmarkStart w:id="87" w:name="_Toc149660944"/>
      <w:bookmarkEnd w:id="82"/>
      <w:bookmarkEnd w:id="83"/>
      <w:r w:rsidRPr="009B03FD">
        <w:t>Componenti di costo previsionali</w:t>
      </w:r>
      <w:bookmarkEnd w:id="84"/>
      <w:bookmarkEnd w:id="85"/>
      <w:bookmarkEnd w:id="86"/>
      <w:bookmarkEnd w:id="87"/>
      <w:r w:rsidRPr="009B03FD">
        <w:t xml:space="preserve"> </w:t>
      </w:r>
    </w:p>
    <w:p w14:paraId="42522355" w14:textId="2369E48D" w:rsidR="009B03FD" w:rsidRPr="00722AD4" w:rsidRDefault="009B03FD" w:rsidP="00BC1E8A">
      <w:pPr>
        <w:spacing w:before="120"/>
      </w:pPr>
      <w:bookmarkStart w:id="88" w:name="_Toc86003358"/>
      <w:r w:rsidRPr="00BC1E8A">
        <w:rPr>
          <w:lang w:eastAsia="en-GB"/>
        </w:rPr>
        <w:t xml:space="preserve">Ciascun gestore, per quanto di propria competenza, dovrà illustrare in questa sezione, per </w:t>
      </w:r>
      <w:r w:rsidR="00E11FFD">
        <w:rPr>
          <w:lang w:eastAsia="en-GB"/>
        </w:rPr>
        <w:t xml:space="preserve">entrambe le annualità </w:t>
      </w:r>
      <w:r w:rsidR="00EB7B09">
        <w:rPr>
          <w:lang w:eastAsia="en-GB"/>
        </w:rPr>
        <w:t>del biennio</w:t>
      </w:r>
      <w:r w:rsidRPr="00BC1E8A">
        <w:rPr>
          <w:lang w:eastAsia="en-GB"/>
        </w:rPr>
        <w:t xml:space="preserve"> 202</w:t>
      </w:r>
      <w:r w:rsidR="00EB7B09">
        <w:rPr>
          <w:lang w:eastAsia="en-GB"/>
        </w:rPr>
        <w:t>4</w:t>
      </w:r>
      <w:r w:rsidRPr="00BC1E8A">
        <w:rPr>
          <w:lang w:eastAsia="en-GB"/>
        </w:rPr>
        <w:t>-2025, le proprie stime relative all’eventuale valorizzazione delle componenti previsionali di cui all’articolo 9 del MTR-2</w:t>
      </w:r>
      <w:r w:rsidR="00EB7B09">
        <w:rPr>
          <w:lang w:eastAsia="en-GB"/>
        </w:rPr>
        <w:t xml:space="preserve"> aggiornato</w:t>
      </w:r>
      <w:r w:rsidRPr="00BC1E8A">
        <w:rPr>
          <w:lang w:eastAsia="en-GB"/>
        </w:rPr>
        <w:t>. In particolare, il gestore dovrà fornire adeguata giustificazione, ai fini della successiva valutazione e determinazione da parte del</w:t>
      </w:r>
      <w:r w:rsidR="002B3180">
        <w:rPr>
          <w:lang w:eastAsia="en-GB"/>
        </w:rPr>
        <w:t>l</w:t>
      </w:r>
      <w:r w:rsidRPr="00722AD4">
        <w:rPr>
          <w:lang w:eastAsia="en-GB"/>
        </w:rPr>
        <w:t>’ETC:</w:t>
      </w:r>
      <w:bookmarkEnd w:id="88"/>
    </w:p>
    <w:p w14:paraId="64223B49" w14:textId="4A8E51F1" w:rsidR="009B03FD" w:rsidRPr="00DD58AD" w:rsidRDefault="009B03FD" w:rsidP="00722AD4">
      <w:pPr>
        <w:pStyle w:val="Paragrafoelenco"/>
        <w:numPr>
          <w:ilvl w:val="0"/>
          <w:numId w:val="102"/>
        </w:numPr>
        <w:spacing w:before="120"/>
        <w:jc w:val="both"/>
        <w:rPr>
          <w:b/>
          <w:bCs/>
          <w:i/>
        </w:rPr>
      </w:pPr>
      <w:bookmarkStart w:id="89" w:name="_Toc86003359"/>
      <w:r w:rsidRPr="00722AD4">
        <w:rPr>
          <w:sz w:val="24"/>
          <w:szCs w:val="24"/>
          <w:lang w:eastAsia="en-GB"/>
        </w:rPr>
        <w:t xml:space="preserve">della proposta di valorizzazione, attraverso le componenti </w:t>
      </w:r>
      <m:oMath>
        <m:sSubSup>
          <m:sSubSupPr>
            <m:ctrlPr>
              <w:rPr>
                <w:rFonts w:ascii="Cambria Math" w:hAnsi="Cambria Math"/>
                <w:i/>
                <w:iCs/>
                <w:sz w:val="24"/>
                <w:szCs w:val="24"/>
                <w:lang w:eastAsia="en-GB"/>
              </w:rPr>
            </m:ctrlPr>
          </m:sSubSupPr>
          <m:e>
            <m:r>
              <w:rPr>
                <w:rFonts w:ascii="Cambria Math" w:hAnsi="Cambria Math"/>
                <w:sz w:val="24"/>
                <w:szCs w:val="24"/>
                <w:lang w:eastAsia="en-GB"/>
              </w:rPr>
              <m:t>CO</m:t>
            </m:r>
          </m:e>
          <m:sub>
            <m:r>
              <w:rPr>
                <w:rFonts w:ascii="Cambria Math" w:hAnsi="Cambria Math"/>
                <w:sz w:val="24"/>
                <w:szCs w:val="24"/>
                <w:lang w:eastAsia="en-GB"/>
              </w:rPr>
              <m:t>116,TV,a</m:t>
            </m:r>
          </m:sub>
          <m:sup>
            <m:r>
              <w:rPr>
                <w:rFonts w:ascii="Cambria Math" w:hAnsi="Cambria Math"/>
                <w:sz w:val="24"/>
                <w:szCs w:val="24"/>
                <w:lang w:eastAsia="en-GB"/>
              </w:rPr>
              <m:t>exp</m:t>
            </m:r>
          </m:sup>
        </m:sSubSup>
      </m:oMath>
      <w:r w:rsidRPr="00BC1E8A">
        <w:rPr>
          <w:sz w:val="24"/>
          <w:szCs w:val="24"/>
          <w:lang w:eastAsia="en-GB"/>
        </w:rPr>
        <w:t xml:space="preserve"> e </w:t>
      </w:r>
      <m:oMath>
        <m:sSubSup>
          <m:sSubSupPr>
            <m:ctrlPr>
              <w:rPr>
                <w:rFonts w:ascii="Cambria Math" w:hAnsi="Cambria Math"/>
                <w:i/>
                <w:iCs/>
                <w:sz w:val="24"/>
                <w:szCs w:val="24"/>
                <w:lang w:eastAsia="en-GB"/>
              </w:rPr>
            </m:ctrlPr>
          </m:sSubSupPr>
          <m:e>
            <m:r>
              <w:rPr>
                <w:rFonts w:ascii="Cambria Math" w:hAnsi="Cambria Math"/>
                <w:sz w:val="24"/>
                <w:szCs w:val="24"/>
                <w:lang w:eastAsia="en-GB"/>
              </w:rPr>
              <m:t>CO</m:t>
            </m:r>
          </m:e>
          <m:sub>
            <m:r>
              <w:rPr>
                <w:rFonts w:ascii="Cambria Math" w:hAnsi="Cambria Math"/>
                <w:sz w:val="24"/>
                <w:szCs w:val="24"/>
                <w:lang w:eastAsia="en-GB"/>
              </w:rPr>
              <m:t>116,TF,a</m:t>
            </m:r>
          </m:sub>
          <m:sup>
            <m:r>
              <w:rPr>
                <w:rFonts w:ascii="Cambria Math" w:hAnsi="Cambria Math"/>
                <w:sz w:val="24"/>
                <w:szCs w:val="24"/>
                <w:lang w:eastAsia="en-GB"/>
              </w:rPr>
              <m:t>exp</m:t>
            </m:r>
          </m:sup>
        </m:sSubSup>
      </m:oMath>
      <w:r w:rsidRPr="00722AD4">
        <w:rPr>
          <w:sz w:val="24"/>
          <w:szCs w:val="24"/>
          <w:lang w:eastAsia="en-GB"/>
        </w:rPr>
        <w:t xml:space="preserve"> di maggiori/minori costi legati ad eventuali incrementi/riduzioni della quantità di rifiuti gestiti, ovvero ad attività aggiuntive/minori, a seguito della nuova qualificazione dei rifiuti prodotti da utenze non domestiche come “rifiuti urbani”, e/o di minori costi legati alla riduzione della quantità di rifiuti gestiti per effetto della scelta di talune utenze non domestiche di conferire i </w:t>
      </w:r>
      <w:r w:rsidRPr="00DD58AD">
        <w:rPr>
          <w:sz w:val="24"/>
          <w:szCs w:val="24"/>
          <w:lang w:eastAsia="en-GB"/>
        </w:rPr>
        <w:t>propri rifiuti urbani al di fuori del servizio pubblico;</w:t>
      </w:r>
      <w:bookmarkEnd w:id="89"/>
    </w:p>
    <w:p w14:paraId="10493D55" w14:textId="20B41BF8" w:rsidR="009B03FD" w:rsidRPr="00DD58AD" w:rsidRDefault="009B03FD" w:rsidP="00722AD4">
      <w:pPr>
        <w:pStyle w:val="Paragrafoelenco"/>
        <w:numPr>
          <w:ilvl w:val="0"/>
          <w:numId w:val="102"/>
        </w:numPr>
        <w:spacing w:before="120"/>
        <w:jc w:val="both"/>
        <w:rPr>
          <w:b/>
          <w:bCs/>
          <w:i/>
        </w:rPr>
      </w:pPr>
      <w:bookmarkStart w:id="90" w:name="_Toc86003360"/>
      <w:r w:rsidRPr="00DD58AD">
        <w:rPr>
          <w:sz w:val="24"/>
          <w:szCs w:val="24"/>
          <w:lang w:eastAsia="en-GB"/>
        </w:rPr>
        <w:lastRenderedPageBreak/>
        <w:t xml:space="preserve">della proposta di valorizzazione, attraverso le componenti </w:t>
      </w:r>
      <m:oMath>
        <m:sSubSup>
          <m:sSubSupPr>
            <m:ctrlPr>
              <w:rPr>
                <w:rFonts w:ascii="Cambria Math" w:hAnsi="Cambria Math"/>
                <w:i/>
                <w:iCs/>
                <w:sz w:val="24"/>
                <w:szCs w:val="24"/>
                <w:lang w:eastAsia="en-GB"/>
              </w:rPr>
            </m:ctrlPr>
          </m:sSubSupPr>
          <m:e>
            <m:r>
              <w:rPr>
                <w:rFonts w:ascii="Cambria Math" w:hAnsi="Cambria Math"/>
                <w:sz w:val="24"/>
                <w:szCs w:val="24"/>
                <w:lang w:eastAsia="en-GB"/>
              </w:rPr>
              <m:t>CQ</m:t>
            </m:r>
          </m:e>
          <m:sub>
            <m:r>
              <w:rPr>
                <w:rFonts w:ascii="Cambria Math" w:hAnsi="Cambria Math"/>
                <w:sz w:val="24"/>
                <w:szCs w:val="24"/>
                <w:lang w:eastAsia="en-GB"/>
              </w:rPr>
              <m:t>TV,a</m:t>
            </m:r>
          </m:sub>
          <m:sup>
            <m:r>
              <w:rPr>
                <w:rFonts w:ascii="Cambria Math" w:hAnsi="Cambria Math"/>
                <w:sz w:val="24"/>
                <w:szCs w:val="24"/>
                <w:lang w:eastAsia="en-GB"/>
              </w:rPr>
              <m:t>exp</m:t>
            </m:r>
          </m:sup>
        </m:sSubSup>
      </m:oMath>
      <w:r w:rsidRPr="00DD58AD">
        <w:rPr>
          <w:sz w:val="24"/>
          <w:szCs w:val="24"/>
          <w:lang w:eastAsia="en-GB"/>
        </w:rPr>
        <w:t xml:space="preserve"> e </w:t>
      </w:r>
      <m:oMath>
        <m:sSubSup>
          <m:sSubSupPr>
            <m:ctrlPr>
              <w:rPr>
                <w:rFonts w:ascii="Cambria Math" w:hAnsi="Cambria Math"/>
                <w:i/>
                <w:iCs/>
                <w:sz w:val="24"/>
                <w:szCs w:val="24"/>
                <w:lang w:eastAsia="en-GB"/>
              </w:rPr>
            </m:ctrlPr>
          </m:sSubSupPr>
          <m:e>
            <m:r>
              <w:rPr>
                <w:rFonts w:ascii="Cambria Math" w:hAnsi="Cambria Math"/>
                <w:sz w:val="24"/>
                <w:szCs w:val="24"/>
                <w:lang w:eastAsia="en-GB"/>
              </w:rPr>
              <m:t>CQ</m:t>
            </m:r>
          </m:e>
          <m:sub>
            <m:r>
              <w:rPr>
                <w:rFonts w:ascii="Cambria Math" w:hAnsi="Cambria Math"/>
                <w:sz w:val="24"/>
                <w:szCs w:val="24"/>
                <w:lang w:eastAsia="en-GB"/>
              </w:rPr>
              <m:t>TF,a</m:t>
            </m:r>
          </m:sub>
          <m:sup>
            <m:r>
              <w:rPr>
                <w:rFonts w:ascii="Cambria Math" w:hAnsi="Cambria Math"/>
                <w:sz w:val="24"/>
                <w:szCs w:val="24"/>
                <w:lang w:eastAsia="en-GB"/>
              </w:rPr>
              <m:t>exp</m:t>
            </m:r>
          </m:sup>
        </m:sSubSup>
      </m:oMath>
      <w:r w:rsidRPr="00DD58AD">
        <w:rPr>
          <w:sz w:val="24"/>
          <w:szCs w:val="24"/>
          <w:lang w:eastAsia="en-GB"/>
        </w:rPr>
        <w:t xml:space="preserve"> dei costi aggiuntivi per l’adeguamento agli standard di qualità introdotti dall’Autorità, secondo quanto descritto nel paragrafo</w:t>
      </w:r>
      <w:bookmarkEnd w:id="90"/>
      <w:r w:rsidR="00AE7E48" w:rsidRPr="00DD58AD">
        <w:rPr>
          <w:sz w:val="24"/>
          <w:szCs w:val="24"/>
          <w:lang w:eastAsia="en-GB"/>
        </w:rPr>
        <w:t xml:space="preserve"> </w:t>
      </w:r>
      <w:r w:rsidR="006D6859" w:rsidRPr="00DD58AD">
        <w:rPr>
          <w:sz w:val="24"/>
          <w:szCs w:val="24"/>
          <w:lang w:eastAsia="en-GB"/>
        </w:rPr>
        <w:fldChar w:fldCharType="begin"/>
      </w:r>
      <w:r w:rsidR="006D6859" w:rsidRPr="00DD58AD">
        <w:rPr>
          <w:sz w:val="24"/>
          <w:szCs w:val="24"/>
          <w:lang w:eastAsia="en-GB"/>
        </w:rPr>
        <w:instrText xml:space="preserve"> REF _Ref86911146 \r \h </w:instrText>
      </w:r>
      <w:r w:rsidR="009365C5" w:rsidRPr="00DD58AD">
        <w:rPr>
          <w:sz w:val="24"/>
          <w:szCs w:val="24"/>
          <w:lang w:eastAsia="en-GB"/>
        </w:rPr>
        <w:instrText xml:space="preserve"> \* MERGEFORMAT </w:instrText>
      </w:r>
      <w:r w:rsidR="006D6859" w:rsidRPr="00DD58AD">
        <w:rPr>
          <w:sz w:val="24"/>
          <w:szCs w:val="24"/>
          <w:lang w:eastAsia="en-GB"/>
        </w:rPr>
      </w:r>
      <w:r w:rsidR="006D6859" w:rsidRPr="00DD58AD">
        <w:rPr>
          <w:sz w:val="24"/>
          <w:szCs w:val="24"/>
          <w:lang w:eastAsia="en-GB"/>
        </w:rPr>
        <w:fldChar w:fldCharType="separate"/>
      </w:r>
      <w:r w:rsidR="002F0519" w:rsidRPr="00DD58AD">
        <w:rPr>
          <w:sz w:val="24"/>
          <w:szCs w:val="24"/>
          <w:lang w:eastAsia="en-GB"/>
        </w:rPr>
        <w:t>3.1.2</w:t>
      </w:r>
      <w:r w:rsidR="006D6859" w:rsidRPr="00DD58AD">
        <w:rPr>
          <w:sz w:val="24"/>
          <w:szCs w:val="24"/>
          <w:lang w:eastAsia="en-GB"/>
        </w:rPr>
        <w:fldChar w:fldCharType="end"/>
      </w:r>
      <w:r w:rsidRPr="00DD58AD">
        <w:rPr>
          <w:sz w:val="24"/>
          <w:szCs w:val="24"/>
          <w:lang w:eastAsia="en-GB"/>
        </w:rPr>
        <w:t>;</w:t>
      </w:r>
    </w:p>
    <w:p w14:paraId="46A337AA" w14:textId="54B842CD" w:rsidR="00F91AD2" w:rsidRPr="00B10E61" w:rsidRDefault="009B03FD" w:rsidP="00B10E61">
      <w:pPr>
        <w:pStyle w:val="Paragrafoelenco"/>
        <w:numPr>
          <w:ilvl w:val="0"/>
          <w:numId w:val="102"/>
        </w:numPr>
        <w:spacing w:before="120"/>
        <w:jc w:val="both"/>
        <w:rPr>
          <w:sz w:val="24"/>
          <w:szCs w:val="24"/>
          <w:lang w:eastAsia="en-GB"/>
        </w:rPr>
      </w:pPr>
      <w:bookmarkStart w:id="91" w:name="_Toc86003361"/>
      <w:r w:rsidRPr="00BC1E8A">
        <w:rPr>
          <w:sz w:val="24"/>
          <w:szCs w:val="24"/>
          <w:lang w:eastAsia="en-GB"/>
        </w:rPr>
        <w:t xml:space="preserve">della proposta di valorizzazione, attraverso le componenti </w:t>
      </w:r>
      <m:oMath>
        <m:sSubSup>
          <m:sSubSupPr>
            <m:ctrlPr>
              <w:rPr>
                <w:rFonts w:ascii="Cambria Math" w:hAnsi="Cambria Math"/>
                <w:i/>
                <w:iCs/>
                <w:sz w:val="24"/>
                <w:szCs w:val="24"/>
                <w:lang w:eastAsia="en-GB"/>
              </w:rPr>
            </m:ctrlPr>
          </m:sSubSupPr>
          <m:e>
            <m:r>
              <w:rPr>
                <w:rFonts w:ascii="Cambria Math" w:hAnsi="Cambria Math"/>
                <w:sz w:val="24"/>
                <w:szCs w:val="24"/>
                <w:lang w:eastAsia="en-GB"/>
              </w:rPr>
              <m:t>COI</m:t>
            </m:r>
          </m:e>
          <m:sub>
            <m:r>
              <w:rPr>
                <w:rFonts w:ascii="Cambria Math" w:hAnsi="Cambria Math"/>
                <w:sz w:val="24"/>
                <w:szCs w:val="24"/>
                <w:lang w:eastAsia="en-GB"/>
              </w:rPr>
              <m:t>TV,a</m:t>
            </m:r>
          </m:sub>
          <m:sup>
            <m:r>
              <w:rPr>
                <w:rFonts w:ascii="Cambria Math" w:hAnsi="Cambria Math"/>
                <w:sz w:val="24"/>
                <w:szCs w:val="24"/>
                <w:lang w:eastAsia="en-GB"/>
              </w:rPr>
              <m:t>exp</m:t>
            </m:r>
          </m:sup>
        </m:sSubSup>
      </m:oMath>
      <w:r w:rsidRPr="00722AD4">
        <w:rPr>
          <w:sz w:val="24"/>
          <w:szCs w:val="24"/>
          <w:lang w:eastAsia="en-GB"/>
        </w:rPr>
        <w:t xml:space="preserve"> e </w:t>
      </w:r>
      <m:oMath>
        <m:sSubSup>
          <m:sSubSupPr>
            <m:ctrlPr>
              <w:rPr>
                <w:rFonts w:ascii="Cambria Math" w:hAnsi="Cambria Math"/>
                <w:i/>
                <w:iCs/>
                <w:sz w:val="24"/>
                <w:szCs w:val="24"/>
                <w:lang w:eastAsia="en-GB"/>
              </w:rPr>
            </m:ctrlPr>
          </m:sSubSupPr>
          <m:e>
            <m:r>
              <w:rPr>
                <w:rFonts w:ascii="Cambria Math" w:hAnsi="Cambria Math"/>
                <w:sz w:val="24"/>
                <w:szCs w:val="24"/>
                <w:lang w:eastAsia="en-GB"/>
              </w:rPr>
              <m:t>COI</m:t>
            </m:r>
          </m:e>
          <m:sub>
            <m:r>
              <w:rPr>
                <w:rFonts w:ascii="Cambria Math" w:hAnsi="Cambria Math"/>
                <w:sz w:val="24"/>
                <w:szCs w:val="24"/>
                <w:lang w:eastAsia="en-GB"/>
              </w:rPr>
              <m:t>TF,a</m:t>
            </m:r>
          </m:sub>
          <m:sup>
            <m:r>
              <w:rPr>
                <w:rFonts w:ascii="Cambria Math" w:hAnsi="Cambria Math"/>
                <w:sz w:val="24"/>
                <w:szCs w:val="24"/>
                <w:lang w:eastAsia="en-GB"/>
              </w:rPr>
              <m:t>exp</m:t>
            </m:r>
          </m:sup>
        </m:sSubSup>
      </m:oMath>
      <w:r w:rsidRPr="00BC1E8A">
        <w:rPr>
          <w:sz w:val="24"/>
          <w:szCs w:val="24"/>
          <w:lang w:eastAsia="en-GB"/>
        </w:rPr>
        <w:t xml:space="preserve">, degli oneri aggiuntivi relativi al conseguimento di target connessi alle modifiche del perimetro gestionale illustrate nel paragrafo </w:t>
      </w:r>
      <w:r w:rsidR="00557703">
        <w:rPr>
          <w:lang w:eastAsia="en-GB"/>
        </w:rPr>
        <w:fldChar w:fldCharType="begin"/>
      </w:r>
      <w:r w:rsidR="00557703">
        <w:rPr>
          <w:sz w:val="24"/>
          <w:szCs w:val="24"/>
          <w:lang w:eastAsia="en-GB"/>
        </w:rPr>
        <w:instrText xml:space="preserve"> REF _Ref86911174 \r \h </w:instrText>
      </w:r>
      <w:r w:rsidR="00557703">
        <w:rPr>
          <w:lang w:eastAsia="en-GB"/>
        </w:rPr>
      </w:r>
      <w:r w:rsidR="00557703">
        <w:rPr>
          <w:lang w:eastAsia="en-GB"/>
        </w:rPr>
        <w:fldChar w:fldCharType="separate"/>
      </w:r>
      <w:r w:rsidR="002F0519">
        <w:rPr>
          <w:sz w:val="24"/>
          <w:szCs w:val="24"/>
          <w:lang w:eastAsia="en-GB"/>
        </w:rPr>
        <w:t>3.1.1</w:t>
      </w:r>
      <w:r w:rsidR="00557703">
        <w:rPr>
          <w:lang w:eastAsia="en-GB"/>
        </w:rPr>
        <w:fldChar w:fldCharType="end"/>
      </w:r>
      <w:r w:rsidR="00557703">
        <w:rPr>
          <w:sz w:val="24"/>
          <w:szCs w:val="24"/>
          <w:lang w:eastAsia="en-GB"/>
        </w:rPr>
        <w:t xml:space="preserve"> </w:t>
      </w:r>
      <w:r w:rsidRPr="00BC1E8A">
        <w:rPr>
          <w:sz w:val="24"/>
          <w:szCs w:val="24"/>
          <w:lang w:eastAsia="en-GB"/>
        </w:rPr>
        <w:t>e all’introduzione di standard e livelli qualitativi migliorativi, o ulteriori, rispetto a quelli minimi fissati dalla regolazione, illustrati nel paragrafo</w:t>
      </w:r>
      <w:bookmarkEnd w:id="91"/>
      <w:r w:rsidR="00557703">
        <w:rPr>
          <w:sz w:val="24"/>
          <w:szCs w:val="24"/>
          <w:lang w:eastAsia="en-GB"/>
        </w:rPr>
        <w:t xml:space="preserve"> </w:t>
      </w:r>
      <w:r w:rsidR="00557703">
        <w:rPr>
          <w:lang w:eastAsia="en-GB"/>
        </w:rPr>
        <w:fldChar w:fldCharType="begin"/>
      </w:r>
      <w:r w:rsidR="00557703">
        <w:rPr>
          <w:sz w:val="24"/>
          <w:szCs w:val="24"/>
          <w:lang w:eastAsia="en-GB"/>
        </w:rPr>
        <w:instrText xml:space="preserve"> REF _Ref86911194 \r \h </w:instrText>
      </w:r>
      <w:r w:rsidR="00B10E61">
        <w:rPr>
          <w:lang w:eastAsia="en-GB"/>
        </w:rPr>
        <w:instrText xml:space="preserve"> \* MERGEFORMAT </w:instrText>
      </w:r>
      <w:r w:rsidR="00557703">
        <w:rPr>
          <w:lang w:eastAsia="en-GB"/>
        </w:rPr>
      </w:r>
      <w:r w:rsidR="00557703">
        <w:rPr>
          <w:lang w:eastAsia="en-GB"/>
        </w:rPr>
        <w:fldChar w:fldCharType="separate"/>
      </w:r>
      <w:r w:rsidR="002F0519">
        <w:rPr>
          <w:sz w:val="24"/>
          <w:szCs w:val="24"/>
          <w:lang w:eastAsia="en-GB"/>
        </w:rPr>
        <w:t>3.1.2</w:t>
      </w:r>
      <w:r w:rsidR="00557703">
        <w:rPr>
          <w:lang w:eastAsia="en-GB"/>
        </w:rPr>
        <w:fldChar w:fldCharType="end"/>
      </w:r>
      <w:r w:rsidRPr="00BC1E8A">
        <w:rPr>
          <w:sz w:val="24"/>
          <w:szCs w:val="24"/>
          <w:lang w:eastAsia="en-GB"/>
        </w:rPr>
        <w:t xml:space="preserve">. </w:t>
      </w:r>
    </w:p>
    <w:p w14:paraId="1F11A05F" w14:textId="665742B9" w:rsidR="009B03FD" w:rsidRDefault="001001E2" w:rsidP="00BC1E8A">
      <w:pPr>
        <w:pStyle w:val="Titolo3"/>
        <w:tabs>
          <w:tab w:val="clear" w:pos="4831"/>
          <w:tab w:val="num" w:pos="720"/>
        </w:tabs>
        <w:ind w:left="720"/>
      </w:pPr>
      <w:bookmarkStart w:id="92" w:name="_Toc86134959"/>
      <w:bookmarkStart w:id="93" w:name="_Toc86135048"/>
      <w:bookmarkStart w:id="94" w:name="_Toc86135642"/>
      <w:bookmarkStart w:id="95" w:name="_Toc149660945"/>
      <w:r>
        <w:t>I</w:t>
      </w:r>
      <w:r w:rsidR="009B03FD">
        <w:t>nvestimenti</w:t>
      </w:r>
      <w:bookmarkEnd w:id="92"/>
      <w:bookmarkEnd w:id="93"/>
      <w:bookmarkEnd w:id="94"/>
      <w:bookmarkEnd w:id="95"/>
    </w:p>
    <w:p w14:paraId="0E75E762" w14:textId="555AB03A" w:rsidR="009B03FD" w:rsidRPr="009B03FD" w:rsidRDefault="009B03FD" w:rsidP="00BC1E8A">
      <w:pPr>
        <w:spacing w:before="120"/>
        <w:rPr>
          <w:lang w:eastAsia="en-GB"/>
        </w:rPr>
      </w:pPr>
      <w:r w:rsidRPr="009B03FD">
        <w:rPr>
          <w:lang w:eastAsia="en-GB"/>
        </w:rPr>
        <w:t xml:space="preserve">Ciascun gestore, per quanto di propria competenza e con riferimento al </w:t>
      </w:r>
      <w:r w:rsidR="00C51DBF">
        <w:rPr>
          <w:lang w:eastAsia="en-GB"/>
        </w:rPr>
        <w:t>biennio</w:t>
      </w:r>
      <w:r w:rsidRPr="009B03FD">
        <w:rPr>
          <w:lang w:eastAsia="en-GB"/>
        </w:rPr>
        <w:t xml:space="preserve"> 202</w:t>
      </w:r>
      <w:r w:rsidR="00C51DBF">
        <w:rPr>
          <w:lang w:eastAsia="en-GB"/>
        </w:rPr>
        <w:t>4</w:t>
      </w:r>
      <w:r w:rsidRPr="009B03FD">
        <w:rPr>
          <w:lang w:eastAsia="en-GB"/>
        </w:rPr>
        <w:t>-2025, dovrà illustrare:</w:t>
      </w:r>
    </w:p>
    <w:p w14:paraId="5C3A61A2" w14:textId="77777777" w:rsidR="009B03FD" w:rsidRPr="009B03FD" w:rsidRDefault="009B03FD" w:rsidP="00BC1E8A">
      <w:pPr>
        <w:numPr>
          <w:ilvl w:val="0"/>
          <w:numId w:val="58"/>
        </w:numPr>
        <w:spacing w:before="120"/>
        <w:rPr>
          <w:lang w:eastAsia="en-GB"/>
        </w:rPr>
      </w:pPr>
      <w:r w:rsidRPr="009B03FD">
        <w:rPr>
          <w:lang w:eastAsia="en-GB"/>
        </w:rPr>
        <w:t xml:space="preserve">il fabbisogno di investimenti, determinato in considerazione delle scelte di pianificazione </w:t>
      </w:r>
      <w:r w:rsidRPr="00243F7A">
        <w:rPr>
          <w:lang w:eastAsia="en-GB"/>
        </w:rPr>
        <w:t>regionale e, ove esistente, di ambito ottimale</w:t>
      </w:r>
      <w:r w:rsidRPr="009B03FD">
        <w:rPr>
          <w:lang w:eastAsia="en-GB"/>
        </w:rPr>
        <w:t xml:space="preserve"> per il riequilibrio dei flussi fisici e in rapporto al valore delle infrastrutture esistenti;</w:t>
      </w:r>
    </w:p>
    <w:p w14:paraId="46C0652F" w14:textId="13278567" w:rsidR="009B03FD" w:rsidRPr="009B03FD" w:rsidRDefault="009B03FD" w:rsidP="00BC1E8A">
      <w:pPr>
        <w:numPr>
          <w:ilvl w:val="0"/>
          <w:numId w:val="58"/>
        </w:numPr>
        <w:spacing w:before="120"/>
        <w:rPr>
          <w:lang w:eastAsia="en-GB"/>
        </w:rPr>
      </w:pPr>
      <w:r w:rsidRPr="009B03FD">
        <w:rPr>
          <w:lang w:eastAsia="en-GB"/>
        </w:rPr>
        <w:t>gli interventi previsti per il conseguimento degli obiettivi di sviluppo infrastrutturale individuati dalle programmazioni di competenza regionale e nazionale;</w:t>
      </w:r>
    </w:p>
    <w:p w14:paraId="5DF6940A" w14:textId="3CA7A1BA" w:rsidR="009B03FD" w:rsidRDefault="009B03FD" w:rsidP="00BC1E8A">
      <w:pPr>
        <w:numPr>
          <w:ilvl w:val="0"/>
          <w:numId w:val="58"/>
        </w:numPr>
        <w:spacing w:before="120"/>
        <w:rPr>
          <w:lang w:eastAsia="en-GB"/>
        </w:rPr>
      </w:pPr>
      <w:r w:rsidRPr="009B03FD">
        <w:rPr>
          <w:lang w:eastAsia="en-GB"/>
        </w:rPr>
        <w:t>gli interventi realizzati e gli obiettivi conseguiti in termini di sviluppo infrastrutturale e incremento della capacità impiantistica, e dell’efficacia ambientale, in coerenza con quanto disposto con le programmazioni di competenza regionale e nazionale.</w:t>
      </w:r>
    </w:p>
    <w:p w14:paraId="2F867886" w14:textId="77777777" w:rsidR="009B03FD" w:rsidRPr="009B03FD" w:rsidRDefault="009B03FD" w:rsidP="009B03FD">
      <w:pPr>
        <w:rPr>
          <w:lang w:eastAsia="en-GB"/>
        </w:rPr>
      </w:pPr>
    </w:p>
    <w:p w14:paraId="3122D8AE" w14:textId="77777777" w:rsidR="001A2E02" w:rsidRPr="00773DFA" w:rsidRDefault="001A2E02" w:rsidP="00BC1E8A">
      <w:pPr>
        <w:pStyle w:val="Titolo3"/>
        <w:tabs>
          <w:tab w:val="clear" w:pos="4831"/>
          <w:tab w:val="num" w:pos="720"/>
        </w:tabs>
        <w:ind w:left="720"/>
      </w:pPr>
      <w:bookmarkStart w:id="96" w:name="_Toc23417920"/>
      <w:bookmarkStart w:id="97" w:name="_Toc23418037"/>
      <w:bookmarkStart w:id="98" w:name="_Toc23418163"/>
      <w:bookmarkStart w:id="99" w:name="_Toc23417921"/>
      <w:bookmarkStart w:id="100" w:name="_Toc23418038"/>
      <w:bookmarkStart w:id="101" w:name="_Toc23418164"/>
      <w:bookmarkStart w:id="102" w:name="_Toc86134960"/>
      <w:bookmarkStart w:id="103" w:name="_Toc86135049"/>
      <w:bookmarkStart w:id="104" w:name="_Toc86135643"/>
      <w:bookmarkStart w:id="105" w:name="_Toc149660946"/>
      <w:bookmarkEnd w:id="96"/>
      <w:bookmarkEnd w:id="97"/>
      <w:bookmarkEnd w:id="98"/>
      <w:bookmarkEnd w:id="99"/>
      <w:bookmarkEnd w:id="100"/>
      <w:bookmarkEnd w:id="101"/>
      <w:r w:rsidRPr="00773DFA">
        <w:t xml:space="preserve">Dati relativi </w:t>
      </w:r>
      <w:r w:rsidR="000767C1" w:rsidRPr="00773DFA">
        <w:t>a</w:t>
      </w:r>
      <w:r w:rsidR="00E32F1E" w:rsidRPr="00773DFA">
        <w:t>i costi di capitale</w:t>
      </w:r>
      <w:bookmarkEnd w:id="102"/>
      <w:bookmarkEnd w:id="103"/>
      <w:bookmarkEnd w:id="104"/>
      <w:bookmarkEnd w:id="105"/>
    </w:p>
    <w:p w14:paraId="6EE6878F" w14:textId="69876BA6" w:rsidR="009B03FD" w:rsidRDefault="009B03FD" w:rsidP="00EB6497">
      <w:pPr>
        <w:rPr>
          <w:lang w:eastAsia="en-GB"/>
        </w:rPr>
      </w:pPr>
      <w:r w:rsidRPr="009B03FD">
        <w:rPr>
          <w:lang w:eastAsia="en-GB"/>
        </w:rPr>
        <w:t xml:space="preserve">Il gestore, per </w:t>
      </w:r>
      <w:r w:rsidR="00F2600E">
        <w:rPr>
          <w:lang w:eastAsia="en-GB"/>
        </w:rPr>
        <w:t>entrambe le annualità</w:t>
      </w:r>
      <w:r w:rsidRPr="009B03FD">
        <w:rPr>
          <w:lang w:eastAsia="en-GB"/>
        </w:rPr>
        <w:t xml:space="preserve"> 202</w:t>
      </w:r>
      <w:r w:rsidR="00F2600E">
        <w:rPr>
          <w:lang w:eastAsia="en-GB"/>
        </w:rPr>
        <w:t>4</w:t>
      </w:r>
      <w:r w:rsidRPr="009B03FD">
        <w:rPr>
          <w:lang w:eastAsia="en-GB"/>
        </w:rPr>
        <w:t>-2025, opererà la valorizzazione delle componenti di costo di capitale in conformità alle regole di cui al già richiamato l’articolo 7, comma 2, del MTR-2</w:t>
      </w:r>
      <w:r w:rsidR="00F2600E">
        <w:rPr>
          <w:lang w:eastAsia="en-GB"/>
        </w:rPr>
        <w:t xml:space="preserve"> aggiornato</w:t>
      </w:r>
      <w:r w:rsidRPr="009B03FD">
        <w:rPr>
          <w:lang w:eastAsia="en-GB"/>
        </w:rPr>
        <w:t xml:space="preserve">, fornendo, nella presente relazione, evidenza dei cespiti posti a servizio dell’ambito tariffario a cui il PEF si riferisce e descrivendo, nel caso di infrastrutture condivise da più ambiti tariffari e/o con servizi/business esterni al servizio integrato di gestione dei rifiuti urbani (in assenza di contabilità separata), gli eventuali </w:t>
      </w:r>
      <w:r w:rsidRPr="00243F7A">
        <w:rPr>
          <w:i/>
          <w:lang w:eastAsia="en-GB"/>
        </w:rPr>
        <w:t>driver</w:t>
      </w:r>
      <w:r w:rsidRPr="009B03FD">
        <w:rPr>
          <w:lang w:eastAsia="en-GB"/>
        </w:rPr>
        <w:t xml:space="preserve"> impiegati per l’allocazione dei costi, che devono essere determinati secondo criteri di significatività, attendibilità, ragionevolezza e verificabilità.</w:t>
      </w:r>
    </w:p>
    <w:p w14:paraId="1BDABD7B" w14:textId="3C298DEC" w:rsidR="00F211B9" w:rsidRPr="00F211B9" w:rsidRDefault="00F211B9" w:rsidP="00F211B9">
      <w:pPr>
        <w:rPr>
          <w:lang w:eastAsia="en-GB"/>
        </w:rPr>
      </w:pPr>
      <w:r w:rsidRPr="00F211B9">
        <w:rPr>
          <w:lang w:eastAsia="en-GB"/>
        </w:rPr>
        <w:t xml:space="preserve">Il gestore dovrà aver cura inoltre di illustrare, anche in forma aggregata, i dati contabili necessari per la determinazione delle componenti </w:t>
      </w:r>
      <m:oMath>
        <m:sSub>
          <m:sSubPr>
            <m:ctrlPr>
              <w:rPr>
                <w:rFonts w:ascii="Cambria Math" w:hAnsi="Cambria Math"/>
                <w:lang w:eastAsia="en-GB"/>
              </w:rPr>
            </m:ctrlPr>
          </m:sSubPr>
          <m:e>
            <m:r>
              <w:rPr>
                <w:rFonts w:ascii="Cambria Math" w:hAnsi="Cambria Math"/>
                <w:lang w:eastAsia="en-GB"/>
              </w:rPr>
              <m:t>Amm</m:t>
            </m:r>
          </m:e>
          <m:sub>
            <m:r>
              <w:rPr>
                <w:rFonts w:ascii="Cambria Math" w:hAnsi="Cambria Math"/>
                <w:lang w:eastAsia="en-GB"/>
              </w:rPr>
              <m:t>a</m:t>
            </m:r>
          </m:sub>
        </m:sSub>
      </m:oMath>
      <w:r w:rsidRPr="00F211B9">
        <w:rPr>
          <w:lang w:eastAsia="en-GB"/>
        </w:rPr>
        <w:t xml:space="preserve">, </w:t>
      </w:r>
      <m:oMath>
        <m:sSub>
          <m:sSubPr>
            <m:ctrlPr>
              <w:rPr>
                <w:rFonts w:ascii="Cambria Math" w:hAnsi="Cambria Math"/>
                <w:lang w:eastAsia="en-GB"/>
              </w:rPr>
            </m:ctrlPr>
          </m:sSubPr>
          <m:e>
            <m:r>
              <w:rPr>
                <w:rFonts w:ascii="Cambria Math" w:hAnsi="Cambria Math"/>
                <w:lang w:eastAsia="en-GB"/>
              </w:rPr>
              <m:t>Acc</m:t>
            </m:r>
          </m:e>
          <m:sub>
            <m:r>
              <w:rPr>
                <w:rFonts w:ascii="Cambria Math" w:hAnsi="Cambria Math"/>
                <w:lang w:eastAsia="en-GB"/>
              </w:rPr>
              <m:t>a</m:t>
            </m:r>
          </m:sub>
        </m:sSub>
      </m:oMath>
      <w:r w:rsidRPr="00F211B9">
        <w:rPr>
          <w:lang w:eastAsia="en-GB"/>
        </w:rPr>
        <w:t xml:space="preserve">, </w:t>
      </w:r>
      <m:oMath>
        <m:sSub>
          <m:sSubPr>
            <m:ctrlPr>
              <w:rPr>
                <w:rFonts w:ascii="Cambria Math" w:hAnsi="Cambria Math"/>
                <w:lang w:eastAsia="en-GB"/>
              </w:rPr>
            </m:ctrlPr>
          </m:sSubPr>
          <m:e>
            <m:r>
              <w:rPr>
                <w:rFonts w:ascii="Cambria Math" w:hAnsi="Cambria Math"/>
                <w:lang w:eastAsia="en-GB"/>
              </w:rPr>
              <m:t>R</m:t>
            </m:r>
          </m:e>
          <m:sub>
            <m:r>
              <w:rPr>
                <w:rFonts w:ascii="Cambria Math" w:hAnsi="Cambria Math"/>
                <w:lang w:eastAsia="en-GB"/>
              </w:rPr>
              <m:t>a</m:t>
            </m:r>
          </m:sub>
        </m:sSub>
      </m:oMath>
      <w:r w:rsidRPr="00F211B9">
        <w:rPr>
          <w:lang w:eastAsia="en-GB"/>
        </w:rPr>
        <w:t xml:space="preserve">, </w:t>
      </w:r>
      <m:oMath>
        <m:sSub>
          <m:sSubPr>
            <m:ctrlPr>
              <w:rPr>
                <w:rFonts w:ascii="Cambria Math" w:hAnsi="Cambria Math"/>
                <w:lang w:eastAsia="en-GB"/>
              </w:rPr>
            </m:ctrlPr>
          </m:sSubPr>
          <m:e>
            <m:r>
              <w:rPr>
                <w:rFonts w:ascii="Cambria Math" w:hAnsi="Cambria Math"/>
                <w:lang w:eastAsia="en-GB"/>
              </w:rPr>
              <m:t>R</m:t>
            </m:r>
          </m:e>
          <m:sub>
            <m:r>
              <w:rPr>
                <w:rFonts w:ascii="Cambria Math" w:hAnsi="Cambria Math"/>
                <w:lang w:eastAsia="en-GB"/>
              </w:rPr>
              <m:t>LIC,a</m:t>
            </m:r>
          </m:sub>
        </m:sSub>
      </m:oMath>
      <w:r w:rsidRPr="00F211B9">
        <w:rPr>
          <w:lang w:eastAsia="en-GB"/>
        </w:rPr>
        <w:t>, con particolare riferimento ai valori che determinano il capitale investito netto (valore delle immobilizzazioni nette, capitale circolante netto e valore delle poste rettificative dei costi di capitale) ed alle voci di costo che determinano gli accantonamenti ammessi al riconoscimento tariffario.</w:t>
      </w:r>
    </w:p>
    <w:p w14:paraId="31A3DE1E" w14:textId="2A171F21" w:rsidR="00F211B9" w:rsidRPr="00F211B9" w:rsidRDefault="00F211B9" w:rsidP="00BC1E8A">
      <w:pPr>
        <w:spacing w:before="120"/>
        <w:rPr>
          <w:lang w:eastAsia="en-GB"/>
        </w:rPr>
      </w:pPr>
      <w:r w:rsidRPr="00F211B9">
        <w:rPr>
          <w:lang w:eastAsia="en-GB"/>
        </w:rPr>
        <w:t>Con specifico riferimento alla valorizzazione della componente a copertura degli accantonamenti per crediti, occorrerà dar conto:</w:t>
      </w:r>
    </w:p>
    <w:p w14:paraId="1A351CE1" w14:textId="71242B4D" w:rsidR="00B937FE" w:rsidRDefault="00F211B9">
      <w:pPr>
        <w:numPr>
          <w:ilvl w:val="0"/>
          <w:numId w:val="59"/>
        </w:numPr>
        <w:spacing w:before="120"/>
        <w:rPr>
          <w:lang w:eastAsia="en-GB"/>
        </w:rPr>
      </w:pPr>
      <w:r w:rsidRPr="00F211B9">
        <w:rPr>
          <w:lang w:eastAsia="en-GB"/>
        </w:rPr>
        <w:t xml:space="preserve">nel caso di TARI tributo, al valore corrispondente al 100% </w:t>
      </w:r>
      <w:r w:rsidR="008C661F" w:rsidRPr="00243F7A">
        <w:rPr>
          <w:lang w:eastAsia="en-GB"/>
        </w:rPr>
        <w:t xml:space="preserve">dell’accantonamento annuo </w:t>
      </w:r>
      <w:r w:rsidR="008C661F" w:rsidRPr="003B100B">
        <w:rPr>
          <w:lang w:eastAsia="en-GB"/>
        </w:rPr>
        <w:t>al fondo crediti di dubbia esigibilità secondo le previsioni di cui al punto 3.3 dell’allegato n. 4/2 al decreto legislativo 118/11</w:t>
      </w:r>
      <w:r w:rsidRPr="00F211B9">
        <w:rPr>
          <w:lang w:eastAsia="en-GB"/>
        </w:rPr>
        <w:t>;</w:t>
      </w:r>
    </w:p>
    <w:p w14:paraId="768CF4D8" w14:textId="407925C5" w:rsidR="00F211B9" w:rsidRPr="00F211B9" w:rsidRDefault="00B937FE" w:rsidP="00BC1E8A">
      <w:pPr>
        <w:numPr>
          <w:ilvl w:val="0"/>
          <w:numId w:val="59"/>
        </w:numPr>
        <w:spacing w:before="120"/>
        <w:rPr>
          <w:lang w:eastAsia="en-GB"/>
        </w:rPr>
      </w:pPr>
      <w:r w:rsidRPr="00F211B9">
        <w:rPr>
          <w:lang w:eastAsia="en-GB"/>
        </w:rPr>
        <w:t>nel caso di tariffa corrispettiva,</w:t>
      </w:r>
      <w:r>
        <w:rPr>
          <w:lang w:eastAsia="en-GB"/>
        </w:rPr>
        <w:t xml:space="preserve"> del valore massimo previsto dalle norme fiscali.</w:t>
      </w:r>
      <w:r w:rsidR="00F211B9" w:rsidRPr="00F211B9">
        <w:rPr>
          <w:lang w:eastAsia="en-GB"/>
        </w:rPr>
        <w:t xml:space="preserve"> </w:t>
      </w:r>
    </w:p>
    <w:p w14:paraId="57C8EF6B" w14:textId="509766F4" w:rsidR="00A005E5" w:rsidRDefault="00F211B9" w:rsidP="00243F7A">
      <w:pPr>
        <w:spacing w:before="120"/>
        <w:rPr>
          <w:lang w:eastAsia="en-GB"/>
        </w:rPr>
      </w:pPr>
      <w:r w:rsidRPr="00F211B9">
        <w:rPr>
          <w:lang w:eastAsia="en-GB"/>
        </w:rPr>
        <w:t>Ove rilevante, il gestore dovrà</w:t>
      </w:r>
      <w:r w:rsidR="00A005E5">
        <w:rPr>
          <w:lang w:eastAsia="en-GB"/>
        </w:rPr>
        <w:t>:</w:t>
      </w:r>
    </w:p>
    <w:p w14:paraId="4749F886" w14:textId="155213F6" w:rsidR="002B33CC" w:rsidRPr="00F211B9" w:rsidRDefault="00F211B9" w:rsidP="00BC1E8A">
      <w:pPr>
        <w:numPr>
          <w:ilvl w:val="0"/>
          <w:numId w:val="59"/>
        </w:numPr>
        <w:spacing w:before="120"/>
        <w:rPr>
          <w:lang w:eastAsia="en-GB"/>
        </w:rPr>
      </w:pPr>
      <w:r w:rsidRPr="00F211B9">
        <w:rPr>
          <w:lang w:eastAsia="en-GB"/>
        </w:rPr>
        <w:t>fornire separata evidenza dei cespiti di proprietari diversi e dei relativi costi di cui si chiede il riconoscimento</w:t>
      </w:r>
      <w:r w:rsidR="00A005E5">
        <w:rPr>
          <w:lang w:eastAsia="en-GB"/>
        </w:rPr>
        <w:t>;</w:t>
      </w:r>
    </w:p>
    <w:p w14:paraId="333D6C07" w14:textId="50A578AC" w:rsidR="00824EF7" w:rsidRPr="00346710" w:rsidRDefault="009C0BA3" w:rsidP="002B33CC">
      <w:pPr>
        <w:numPr>
          <w:ilvl w:val="0"/>
          <w:numId w:val="59"/>
        </w:numPr>
        <w:spacing w:before="120"/>
        <w:rPr>
          <w:lang w:eastAsia="en-GB"/>
        </w:rPr>
      </w:pPr>
      <w:r w:rsidRPr="00346710">
        <w:rPr>
          <w:lang w:eastAsia="en-GB"/>
        </w:rPr>
        <w:t>illustr</w:t>
      </w:r>
      <w:r w:rsidR="005E497B" w:rsidRPr="00346710">
        <w:rPr>
          <w:lang w:eastAsia="en-GB"/>
        </w:rPr>
        <w:t>are</w:t>
      </w:r>
      <w:r w:rsidR="009F7F49" w:rsidRPr="00346710">
        <w:rPr>
          <w:lang w:eastAsia="en-GB"/>
        </w:rPr>
        <w:t xml:space="preserve"> </w:t>
      </w:r>
      <w:r w:rsidRPr="00346710">
        <w:rPr>
          <w:lang w:eastAsia="en-GB"/>
        </w:rPr>
        <w:t>criteri sottesi al</w:t>
      </w:r>
      <w:r w:rsidR="00824EF7" w:rsidRPr="00346710">
        <w:rPr>
          <w:lang w:eastAsia="en-GB"/>
        </w:rPr>
        <w:t>le migliori stime in merito all’esaurimento delle discariche ai fini di consentire all’Ente territorialmente competente di definire la relativa vita utile regolatoria</w:t>
      </w:r>
      <w:r w:rsidR="002B33CC" w:rsidRPr="00346710">
        <w:rPr>
          <w:lang w:eastAsia="en-GB"/>
        </w:rPr>
        <w:t>;</w:t>
      </w:r>
    </w:p>
    <w:p w14:paraId="47AE274E" w14:textId="74FF6EF0" w:rsidR="00C24DA9" w:rsidRPr="00346710" w:rsidRDefault="000B1939" w:rsidP="00BC1E8A">
      <w:pPr>
        <w:numPr>
          <w:ilvl w:val="0"/>
          <w:numId w:val="59"/>
        </w:numPr>
        <w:spacing w:before="120"/>
        <w:rPr>
          <w:lang w:eastAsia="en-GB"/>
        </w:rPr>
      </w:pPr>
      <w:r w:rsidRPr="00346710">
        <w:rPr>
          <w:lang w:eastAsia="en-GB"/>
        </w:rPr>
        <w:lastRenderedPageBreak/>
        <w:t xml:space="preserve">illustrare le valutazioni effettuate </w:t>
      </w:r>
      <w:r w:rsidR="008B74D6" w:rsidRPr="00346710">
        <w:rPr>
          <w:lang w:eastAsia="en-GB"/>
        </w:rPr>
        <w:t>in merito</w:t>
      </w:r>
      <w:r w:rsidR="00850244" w:rsidRPr="00346710">
        <w:rPr>
          <w:lang w:eastAsia="en-GB"/>
        </w:rPr>
        <w:t>:</w:t>
      </w:r>
    </w:p>
    <w:p w14:paraId="3E987561" w14:textId="3768A492" w:rsidR="002B33CC" w:rsidRPr="00F808DF" w:rsidRDefault="008B74D6" w:rsidP="00F808DF">
      <w:pPr>
        <w:pStyle w:val="Paragrafoelenco"/>
        <w:numPr>
          <w:ilvl w:val="1"/>
          <w:numId w:val="116"/>
        </w:numPr>
        <w:shd w:val="clear" w:color="auto" w:fill="FFFFFF" w:themeFill="background1"/>
        <w:spacing w:before="120"/>
        <w:rPr>
          <w:sz w:val="24"/>
          <w:szCs w:val="24"/>
          <w:lang w:eastAsia="en-GB"/>
        </w:rPr>
      </w:pPr>
      <w:r w:rsidRPr="00F808DF">
        <w:rPr>
          <w:sz w:val="24"/>
          <w:szCs w:val="24"/>
          <w:lang w:eastAsia="en-GB"/>
        </w:rPr>
        <w:t xml:space="preserve">alla vita utile </w:t>
      </w:r>
      <w:r w:rsidR="00850244" w:rsidRPr="00F808DF">
        <w:rPr>
          <w:sz w:val="24"/>
          <w:szCs w:val="24"/>
          <w:lang w:eastAsia="en-GB"/>
        </w:rPr>
        <w:t>assegnata a</w:t>
      </w:r>
      <w:r w:rsidRPr="00F808DF">
        <w:rPr>
          <w:sz w:val="24"/>
          <w:szCs w:val="24"/>
          <w:lang w:eastAsia="en-GB"/>
        </w:rPr>
        <w:t xml:space="preserve">i cespiti </w:t>
      </w:r>
      <w:r w:rsidR="00F158A5" w:rsidRPr="00F808DF">
        <w:rPr>
          <w:sz w:val="24"/>
          <w:szCs w:val="24"/>
          <w:lang w:eastAsia="en-GB"/>
        </w:rPr>
        <w:t>ove non direttamente riconducibili</w:t>
      </w:r>
      <w:r w:rsidR="007433EC" w:rsidRPr="00F808DF">
        <w:rPr>
          <w:sz w:val="24"/>
          <w:szCs w:val="24"/>
          <w:lang w:eastAsia="en-GB"/>
        </w:rPr>
        <w:t xml:space="preserve"> a</w:t>
      </w:r>
      <w:r w:rsidR="005A3CDB" w:rsidRPr="00F808DF">
        <w:rPr>
          <w:sz w:val="24"/>
          <w:szCs w:val="24"/>
          <w:lang w:eastAsia="en-GB"/>
        </w:rPr>
        <w:t xml:space="preserve">lle tipologie </w:t>
      </w:r>
      <w:r w:rsidR="007433EC" w:rsidRPr="00F808DF">
        <w:rPr>
          <w:sz w:val="24"/>
          <w:szCs w:val="24"/>
          <w:lang w:eastAsia="en-GB"/>
        </w:rPr>
        <w:t>previste</w:t>
      </w:r>
      <w:r w:rsidR="000C7A2C" w:rsidRPr="00F808DF">
        <w:rPr>
          <w:sz w:val="24"/>
          <w:szCs w:val="24"/>
          <w:lang w:eastAsia="en-GB"/>
        </w:rPr>
        <w:t xml:space="preserve"> nelle </w:t>
      </w:r>
      <w:r w:rsidR="006E76B2" w:rsidRPr="00F808DF">
        <w:rPr>
          <w:sz w:val="24"/>
          <w:szCs w:val="24"/>
          <w:lang w:eastAsia="en-GB"/>
        </w:rPr>
        <w:t>tabelle di cui all’articolo 15 del MTR-2</w:t>
      </w:r>
      <w:r w:rsidR="00BC7CBD">
        <w:rPr>
          <w:sz w:val="24"/>
          <w:szCs w:val="24"/>
          <w:lang w:eastAsia="en-GB"/>
        </w:rPr>
        <w:t xml:space="preserve"> aggiornato</w:t>
      </w:r>
      <w:r w:rsidR="00BA3342" w:rsidRPr="00F808DF">
        <w:rPr>
          <w:sz w:val="24"/>
          <w:szCs w:val="24"/>
          <w:lang w:eastAsia="en-GB"/>
        </w:rPr>
        <w:t xml:space="preserve"> </w:t>
      </w:r>
      <w:r w:rsidR="00770076" w:rsidRPr="00F808DF">
        <w:rPr>
          <w:sz w:val="24"/>
          <w:szCs w:val="24"/>
          <w:lang w:eastAsia="en-GB"/>
        </w:rPr>
        <w:t xml:space="preserve">in conformità </w:t>
      </w:r>
      <w:r w:rsidR="00BA3342" w:rsidRPr="00F808DF">
        <w:rPr>
          <w:sz w:val="24"/>
          <w:szCs w:val="24"/>
          <w:lang w:eastAsia="en-GB"/>
        </w:rPr>
        <w:t>a quanto disposto da</w:t>
      </w:r>
      <w:r w:rsidR="00B70344" w:rsidRPr="00F808DF">
        <w:rPr>
          <w:sz w:val="24"/>
          <w:szCs w:val="24"/>
          <w:lang w:eastAsia="en-GB"/>
        </w:rPr>
        <w:t xml:space="preserve">ll’articolo 15.4 del </w:t>
      </w:r>
      <w:r w:rsidR="00FB060F" w:rsidRPr="00F808DF">
        <w:rPr>
          <w:sz w:val="24"/>
          <w:szCs w:val="24"/>
          <w:lang w:eastAsia="en-GB"/>
        </w:rPr>
        <w:t xml:space="preserve">predetto </w:t>
      </w:r>
      <w:r w:rsidR="00B70344" w:rsidRPr="00F808DF">
        <w:rPr>
          <w:sz w:val="24"/>
          <w:szCs w:val="24"/>
          <w:lang w:eastAsia="en-GB"/>
        </w:rPr>
        <w:t>MTR-2</w:t>
      </w:r>
      <w:r w:rsidR="00BC7CBD">
        <w:rPr>
          <w:sz w:val="24"/>
          <w:szCs w:val="24"/>
          <w:lang w:eastAsia="en-GB"/>
        </w:rPr>
        <w:t xml:space="preserve"> aggiornato</w:t>
      </w:r>
      <w:r w:rsidR="00101091" w:rsidRPr="00F808DF">
        <w:rPr>
          <w:sz w:val="24"/>
          <w:szCs w:val="24"/>
          <w:lang w:eastAsia="en-GB"/>
        </w:rPr>
        <w:t>;</w:t>
      </w:r>
    </w:p>
    <w:p w14:paraId="06001DC3" w14:textId="1A255265" w:rsidR="00CF1F6F" w:rsidRPr="00F808DF" w:rsidRDefault="00101091" w:rsidP="00B97862">
      <w:pPr>
        <w:pStyle w:val="Paragrafoelenco"/>
        <w:numPr>
          <w:ilvl w:val="1"/>
          <w:numId w:val="116"/>
        </w:numPr>
        <w:shd w:val="clear" w:color="auto" w:fill="FFFFFF" w:themeFill="background1"/>
        <w:spacing w:before="120"/>
        <w:jc w:val="both"/>
        <w:rPr>
          <w:sz w:val="24"/>
          <w:szCs w:val="24"/>
          <w:lang w:eastAsia="en-GB"/>
        </w:rPr>
      </w:pPr>
      <w:r w:rsidRPr="00F808DF">
        <w:rPr>
          <w:sz w:val="24"/>
          <w:szCs w:val="24"/>
          <w:lang w:eastAsia="en-GB"/>
        </w:rPr>
        <w:t xml:space="preserve">alle motivazioni sottese alla proposta di adozione di una vita utile </w:t>
      </w:r>
      <w:r w:rsidR="00E37835" w:rsidRPr="00F808DF">
        <w:rPr>
          <w:sz w:val="24"/>
          <w:szCs w:val="24"/>
          <w:lang w:eastAsia="en-GB"/>
        </w:rPr>
        <w:t xml:space="preserve">differente </w:t>
      </w:r>
      <w:r w:rsidR="00D2055C" w:rsidRPr="00F808DF">
        <w:rPr>
          <w:sz w:val="24"/>
          <w:szCs w:val="24"/>
          <w:lang w:eastAsia="en-GB"/>
        </w:rPr>
        <w:t>d</w:t>
      </w:r>
      <w:r w:rsidRPr="00F808DF">
        <w:rPr>
          <w:sz w:val="24"/>
          <w:szCs w:val="24"/>
          <w:lang w:eastAsia="en-GB"/>
        </w:rPr>
        <w:t>a quella regolatoria in conformità alla previsione di cui all’articolo 15.5 del MTR-2</w:t>
      </w:r>
      <w:r w:rsidR="007D4685">
        <w:rPr>
          <w:sz w:val="24"/>
          <w:szCs w:val="24"/>
          <w:lang w:eastAsia="en-GB"/>
        </w:rPr>
        <w:t xml:space="preserve"> aggiornato</w:t>
      </w:r>
      <w:r w:rsidR="00BA47B4" w:rsidRPr="00F808DF">
        <w:rPr>
          <w:sz w:val="24"/>
          <w:szCs w:val="24"/>
          <w:lang w:eastAsia="en-GB"/>
        </w:rPr>
        <w:t>.</w:t>
      </w:r>
    </w:p>
    <w:p w14:paraId="56661A37" w14:textId="77777777" w:rsidR="00BB27B8" w:rsidRPr="00773DFA" w:rsidRDefault="00BB27B8" w:rsidP="00A94BD8">
      <w:pPr>
        <w:rPr>
          <w:lang w:eastAsia="en-GB"/>
        </w:rPr>
      </w:pPr>
      <w:bookmarkStart w:id="106" w:name="qui"/>
      <w:bookmarkEnd w:id="106"/>
    </w:p>
    <w:p w14:paraId="308ACFBD" w14:textId="21B31974" w:rsidR="00C87E4E" w:rsidRPr="00773DFA" w:rsidRDefault="00AC3DB6" w:rsidP="00C87E4E">
      <w:pPr>
        <w:pStyle w:val="Titolo1"/>
      </w:pPr>
      <w:bookmarkStart w:id="107" w:name="_Toc86134961"/>
      <w:bookmarkStart w:id="108" w:name="_Toc86135050"/>
      <w:bookmarkStart w:id="109" w:name="_Toc86135644"/>
      <w:bookmarkStart w:id="110" w:name="_Toc149660947"/>
      <w:r>
        <w:t>Attività di validazione</w:t>
      </w:r>
      <w:r w:rsidR="009C0BA3">
        <w:t xml:space="preserve"> (E</w:t>
      </w:r>
      <w:r w:rsidR="00AA19B1">
        <w:t>TC</w:t>
      </w:r>
      <w:r w:rsidR="009C0BA3">
        <w:t>)</w:t>
      </w:r>
      <w:bookmarkEnd w:id="107"/>
      <w:bookmarkEnd w:id="108"/>
      <w:bookmarkEnd w:id="109"/>
      <w:bookmarkEnd w:id="110"/>
    </w:p>
    <w:p w14:paraId="6578BA52" w14:textId="01113855" w:rsidR="00AC3DB6" w:rsidRPr="00AC3DB6" w:rsidRDefault="003771FA" w:rsidP="00BC1E8A">
      <w:pPr>
        <w:spacing w:after="120"/>
      </w:pPr>
      <w:r w:rsidRPr="00773DFA">
        <w:t xml:space="preserve">In generale, l’Ente territorialmente competente </w:t>
      </w:r>
      <w:r w:rsidR="009C0BA3" w:rsidRPr="009C0BA3">
        <w:t>o il soggetto dotato di adeguati profili</w:t>
      </w:r>
      <w:r w:rsidR="00FB4505">
        <w:t xml:space="preserve"> di</w:t>
      </w:r>
      <w:r w:rsidR="009C0BA3" w:rsidRPr="009C0BA3">
        <w:t xml:space="preserve"> terzietà preposto all’attività di validazione</w:t>
      </w:r>
      <w:r w:rsidR="009C0BA3" w:rsidRPr="009C0BA3">
        <w:rPr>
          <w:vertAlign w:val="superscript"/>
        </w:rPr>
        <w:footnoteReference w:id="5"/>
      </w:r>
      <w:r w:rsidR="009C0BA3" w:rsidRPr="009C0BA3">
        <w:t>,</w:t>
      </w:r>
      <w:r w:rsidR="009C0BA3">
        <w:t xml:space="preserve"> </w:t>
      </w:r>
      <w:r w:rsidRPr="00773DFA">
        <w:t xml:space="preserve">descrive l’attività di validazione </w:t>
      </w:r>
      <w:r w:rsidR="00577D77" w:rsidRPr="00773DFA">
        <w:t xml:space="preserve">annuale </w:t>
      </w:r>
      <w:r w:rsidRPr="00773DFA">
        <w:t>svolta sui dati trasmessi dal</w:t>
      </w:r>
      <w:r w:rsidR="009C0BA3">
        <w:t>/i</w:t>
      </w:r>
      <w:r w:rsidRPr="00773DFA">
        <w:t xml:space="preserve"> gestore</w:t>
      </w:r>
      <w:r w:rsidR="009C0BA3">
        <w:t>/i</w:t>
      </w:r>
      <w:r w:rsidR="004638A7" w:rsidRPr="00773DFA">
        <w:t xml:space="preserve"> </w:t>
      </w:r>
      <w:r w:rsidR="00AC3DB6" w:rsidRPr="00AC3DB6">
        <w:t xml:space="preserve">con specifico riferimento alla verifica: </w:t>
      </w:r>
    </w:p>
    <w:p w14:paraId="6390BAB9" w14:textId="7FF8691E" w:rsidR="00AC3DB6" w:rsidRPr="00B4628E" w:rsidRDefault="00AC3DB6" w:rsidP="00243F7A">
      <w:pPr>
        <w:pStyle w:val="Paragrafoelenco"/>
        <w:numPr>
          <w:ilvl w:val="1"/>
          <w:numId w:val="104"/>
        </w:numPr>
        <w:spacing w:after="120"/>
        <w:ind w:left="709"/>
        <w:jc w:val="both"/>
        <w:rPr>
          <w:sz w:val="24"/>
          <w:szCs w:val="24"/>
        </w:rPr>
      </w:pPr>
      <w:r w:rsidRPr="00B4628E">
        <w:rPr>
          <w:sz w:val="24"/>
          <w:szCs w:val="24"/>
        </w:rPr>
        <w:t xml:space="preserve">della coerenza degli elementi di costo riportati nel PEF rispetto ai dati contabili di ciascun gestore, della loro completezza rispetto alle attività/servizi dallo stesso erogati e della loro congruità; </w:t>
      </w:r>
    </w:p>
    <w:p w14:paraId="38A6579A" w14:textId="47D0DA46" w:rsidR="00AC3DB6" w:rsidRPr="00B4628E" w:rsidRDefault="00AC3DB6" w:rsidP="00243F7A">
      <w:pPr>
        <w:pStyle w:val="Paragrafoelenco"/>
        <w:numPr>
          <w:ilvl w:val="1"/>
          <w:numId w:val="104"/>
        </w:numPr>
        <w:spacing w:after="120"/>
        <w:ind w:left="709"/>
        <w:jc w:val="both"/>
        <w:rPr>
          <w:sz w:val="24"/>
          <w:szCs w:val="24"/>
        </w:rPr>
      </w:pPr>
      <w:r w:rsidRPr="00B4628E">
        <w:rPr>
          <w:sz w:val="24"/>
          <w:szCs w:val="24"/>
        </w:rPr>
        <w:t>del rispetto della metodologia prevista dal MTR-2</w:t>
      </w:r>
      <w:r w:rsidR="008F7541">
        <w:rPr>
          <w:sz w:val="24"/>
          <w:szCs w:val="24"/>
        </w:rPr>
        <w:t xml:space="preserve"> aggiornato</w:t>
      </w:r>
      <w:r w:rsidRPr="00B4628E">
        <w:rPr>
          <w:sz w:val="24"/>
          <w:szCs w:val="24"/>
        </w:rPr>
        <w:t xml:space="preserve"> per la determinazione dei costi riconosciuti con particolare riferimento ai costi operativi, ai costi di capitale ed agli eventuali costi di natura previsionale.</w:t>
      </w:r>
    </w:p>
    <w:p w14:paraId="081EA9B9" w14:textId="1BFAF01C" w:rsidR="00313B12" w:rsidRDefault="003511DD" w:rsidP="00313B12">
      <w:pPr>
        <w:spacing w:after="120"/>
      </w:pPr>
      <w:r>
        <w:t>L</w:t>
      </w:r>
      <w:r w:rsidR="00313B12">
        <w:t>'Ente territorialmente competente illustra</w:t>
      </w:r>
      <w:r>
        <w:t>, tra l’altro,</w:t>
      </w:r>
      <w:r w:rsidR="00313B12">
        <w:t xml:space="preserve"> le attività compiute ai sensi dell'art. 2 della deliberazione 389/2023 - in ottemperanza alla sentenza del Consiglio di Stato, Sezione Seconda, n. 7196 del 24 luglio 2023 - al fine di scomputare, dal calcolo tariffario per il secondo periodo regolatorio 2022-2025, gli eventuali oneri e i ricavi afferenti o comunque attribuibili alle attività di “prepulizia, preselezione o pretrattamento degli imballaggi plastici provenienti dalla raccolta differenziata”.</w:t>
      </w:r>
    </w:p>
    <w:p w14:paraId="1C501B7D" w14:textId="42582A5E" w:rsidR="003771FA" w:rsidRPr="00773DFA" w:rsidRDefault="003771FA" w:rsidP="003771FA"/>
    <w:p w14:paraId="483B44EE" w14:textId="2A09F6E2" w:rsidR="009471D9" w:rsidRPr="00AC3DB6" w:rsidRDefault="00AC3DB6" w:rsidP="0075609F">
      <w:pPr>
        <w:pStyle w:val="Titolo1"/>
        <w:ind w:left="431" w:hanging="431"/>
      </w:pPr>
      <w:bookmarkStart w:id="111" w:name="_Toc86134962"/>
      <w:bookmarkStart w:id="112" w:name="_Toc86135051"/>
      <w:bookmarkStart w:id="113" w:name="_Toc86135645"/>
      <w:bookmarkStart w:id="114" w:name="_Toc149660948"/>
      <w:r w:rsidRPr="00AC3DB6">
        <w:t>Valutazioni d</w:t>
      </w:r>
      <w:r w:rsidR="009C0BA3">
        <w:t>i competenza d</w:t>
      </w:r>
      <w:r w:rsidRPr="00AC3DB6">
        <w:t>ell’Ente territorialmente competente</w:t>
      </w:r>
      <w:r w:rsidR="009C0BA3">
        <w:t xml:space="preserve"> (E</w:t>
      </w:r>
      <w:r w:rsidR="005229B6">
        <w:t>TC</w:t>
      </w:r>
      <w:r w:rsidR="009C0BA3">
        <w:t>)</w:t>
      </w:r>
      <w:bookmarkEnd w:id="111"/>
      <w:bookmarkEnd w:id="112"/>
      <w:bookmarkEnd w:id="113"/>
      <w:bookmarkEnd w:id="114"/>
    </w:p>
    <w:p w14:paraId="24D032FB" w14:textId="77777777" w:rsidR="009471D9" w:rsidRPr="0043039C" w:rsidRDefault="009471D9" w:rsidP="002A3122">
      <w:pPr>
        <w:pStyle w:val="Titolo2"/>
        <w:tabs>
          <w:tab w:val="clear" w:pos="5395"/>
        </w:tabs>
        <w:ind w:left="567"/>
      </w:pPr>
      <w:bookmarkStart w:id="115" w:name="_Toc86134963"/>
      <w:bookmarkStart w:id="116" w:name="_Toc86135052"/>
      <w:bookmarkStart w:id="117" w:name="_Toc86135646"/>
      <w:bookmarkStart w:id="118" w:name="_Toc149660949"/>
      <w:r w:rsidRPr="0043039C">
        <w:t>Limite alla crescita annuale delle entrate tariffarie</w:t>
      </w:r>
      <w:bookmarkEnd w:id="115"/>
      <w:bookmarkEnd w:id="116"/>
      <w:bookmarkEnd w:id="117"/>
      <w:bookmarkEnd w:id="118"/>
      <w:r w:rsidRPr="0043039C">
        <w:t xml:space="preserve"> </w:t>
      </w:r>
    </w:p>
    <w:p w14:paraId="38F27F7C" w14:textId="7EF2577F" w:rsidR="00AC3DB6" w:rsidRPr="00AC3DB6" w:rsidRDefault="00AC3DB6" w:rsidP="00AC3DB6">
      <w:r w:rsidRPr="00AC3DB6">
        <w:t>L’Ente territorialmente competente dà preliminarmente atto del valore del totale delle entrate tariffarie di riferimento (Σ</w:t>
      </w:r>
      <w:r w:rsidRPr="00AC3DB6">
        <w:rPr>
          <w:rFonts w:ascii="Cambria Math" w:hAnsi="Cambria Math" w:cs="Cambria Math"/>
        </w:rPr>
        <w:t>𝑇</w:t>
      </w:r>
      <w:r w:rsidRPr="00AC3DB6">
        <w:rPr>
          <w:rFonts w:ascii="Cambria Math" w:hAnsi="Cambria Math" w:cs="Cambria Math"/>
          <w:vertAlign w:val="subscript"/>
        </w:rPr>
        <w:t>𝑎</w:t>
      </w:r>
      <w:r w:rsidRPr="00AC3DB6">
        <w:t>)</w:t>
      </w:r>
      <w:r w:rsidR="002222A5">
        <w:t xml:space="preserve">, così come risultante prima del limite </w:t>
      </w:r>
      <w:r w:rsidR="004350B2">
        <w:t xml:space="preserve">annuale </w:t>
      </w:r>
      <w:r w:rsidR="002222A5">
        <w:t>alla crescita, con riferimento a</w:t>
      </w:r>
      <w:r w:rsidR="00CE0638">
        <w:t>d</w:t>
      </w:r>
      <w:r w:rsidR="002222A5" w:rsidRPr="00AC3DB6">
        <w:t xml:space="preserve"> </w:t>
      </w:r>
      <w:r w:rsidR="00670380">
        <w:t>entrambe le annualità del biennio 2024-2025</w:t>
      </w:r>
      <w:r w:rsidR="00CE0638">
        <w:t>, nonché</w:t>
      </w:r>
      <w:r w:rsidRPr="00B65383">
        <w:t xml:space="preserve"> del valore del totale delle entrate tariffarie massime (</w:t>
      </w:r>
      <w:r w:rsidR="001D239A" w:rsidRPr="00B65383">
        <w:t xml:space="preserve">nell’Allegato </w:t>
      </w:r>
      <w:r w:rsidR="004350B2">
        <w:t xml:space="preserve">1 </w:t>
      </w:r>
      <w:r w:rsidR="001D239A" w:rsidRPr="004350B2">
        <w:rPr>
          <w:i/>
          <w:iCs/>
        </w:rPr>
        <w:t>Tool</w:t>
      </w:r>
      <w:r w:rsidR="001D239A" w:rsidRPr="00B65383">
        <w:t xml:space="preserve"> di calcolo, indicate con </w:t>
      </w:r>
      <w:r w:rsidRPr="00B65383">
        <w:t>Σ</w:t>
      </w:r>
      <w:r w:rsidRPr="00B65383">
        <w:rPr>
          <w:rFonts w:ascii="Cambria Math" w:hAnsi="Cambria Math" w:cs="Cambria Math"/>
        </w:rPr>
        <w:t>𝑇</w:t>
      </w:r>
      <w:r w:rsidRPr="00B65383">
        <w:t xml:space="preserve">max </w:t>
      </w:r>
      <w:r w:rsidRPr="00B65383">
        <w:rPr>
          <w:rFonts w:ascii="Cambria Math" w:hAnsi="Cambria Math" w:cs="Cambria Math"/>
          <w:vertAlign w:val="subscript"/>
        </w:rPr>
        <w:t>𝑎</w:t>
      </w:r>
      <w:r w:rsidRPr="00B65383">
        <w:t>) applicabili nel rispetto del limite annuale di crescita.</w:t>
      </w:r>
    </w:p>
    <w:p w14:paraId="4A118346" w14:textId="7545820B" w:rsidR="00AC3DB6" w:rsidRPr="00AC3DB6" w:rsidRDefault="00AC3DB6" w:rsidP="00AC3DB6">
      <w:r w:rsidRPr="00AC3DB6">
        <w:t>L’Ente territorialmente competente relaziona quindi in ordine alla determinazione dei singoli coefficienti che assumono rilievo per la definizione del limite alla crescita annuale delle entrate tariffarie</w:t>
      </w:r>
      <w:r w:rsidR="00405F47">
        <w:t>, ivi incluso il coefficiente</w:t>
      </w:r>
      <w:r w:rsidR="005B0E79">
        <w:t xml:space="preserve"> di recupero dell’inflazione</w:t>
      </w:r>
      <w:r w:rsidR="00405F47">
        <w:t xml:space="preserve"> CRI</w:t>
      </w:r>
      <w:r w:rsidR="005B0E79">
        <w:t xml:space="preserve">, introdotto </w:t>
      </w:r>
      <w:r w:rsidR="004264A7">
        <w:t>dalla deliberazione 389</w:t>
      </w:r>
      <w:r w:rsidR="004264A7" w:rsidRPr="00623181">
        <w:t>/202</w:t>
      </w:r>
      <w:r w:rsidR="004264A7">
        <w:t>3</w:t>
      </w:r>
      <w:r w:rsidR="004264A7" w:rsidRPr="00623181">
        <w:t>/R/</w:t>
      </w:r>
      <w:r w:rsidR="004264A7" w:rsidRPr="009B0EAB">
        <w:rPr>
          <w:sz w:val="20"/>
          <w:szCs w:val="20"/>
        </w:rPr>
        <w:t>RIF</w:t>
      </w:r>
      <w:r w:rsidRPr="00AC3DB6">
        <w:t>.</w:t>
      </w:r>
    </w:p>
    <w:p w14:paraId="63CD3C18" w14:textId="77777777" w:rsidR="009471D9" w:rsidRPr="00773DFA" w:rsidRDefault="009471D9" w:rsidP="00DD0FC4"/>
    <w:p w14:paraId="4E7DAB0F" w14:textId="367C0383" w:rsidR="00AC3DB6" w:rsidRPr="00AC3DB6" w:rsidRDefault="00AC3DB6" w:rsidP="00BC1E8A">
      <w:pPr>
        <w:pStyle w:val="Titolo3"/>
        <w:tabs>
          <w:tab w:val="clear" w:pos="4831"/>
          <w:tab w:val="num" w:pos="720"/>
        </w:tabs>
        <w:ind w:left="720"/>
      </w:pPr>
      <w:bookmarkStart w:id="119" w:name="_Toc86134964"/>
      <w:bookmarkStart w:id="120" w:name="_Toc86135053"/>
      <w:bookmarkStart w:id="121" w:name="_Toc86135647"/>
      <w:bookmarkStart w:id="122" w:name="_Toc149660950"/>
      <w:r w:rsidRPr="00AC3DB6">
        <w:t>Coefficiente di recupero di produttività</w:t>
      </w:r>
      <w:bookmarkEnd w:id="119"/>
      <w:bookmarkEnd w:id="120"/>
      <w:bookmarkEnd w:id="121"/>
      <w:bookmarkEnd w:id="122"/>
    </w:p>
    <w:p w14:paraId="34FBACCA" w14:textId="47F456C6" w:rsidR="007C7571" w:rsidRDefault="009C0BA3" w:rsidP="00AC3DB6">
      <w:r w:rsidRPr="006D022C">
        <w:t xml:space="preserve">Per ciascun ambito tariffario l’Ente territorialmente competente, sulla base delle risultanze del </w:t>
      </w:r>
      <w:r w:rsidR="00503CDB">
        <w:t xml:space="preserve">confronto tra il </w:t>
      </w:r>
      <w:r w:rsidR="00091246">
        <w:t xml:space="preserve">costo unitario effettivo </w:t>
      </w:r>
      <w:r w:rsidR="00F52B8E">
        <w:t>(</w:t>
      </w:r>
      <w:r w:rsidR="00F52B8E" w:rsidRPr="00045BAF">
        <w:rPr>
          <w:i/>
          <w:iCs/>
        </w:rPr>
        <w:t>CUeff</w:t>
      </w:r>
      <w:r w:rsidR="00F52B8E">
        <w:t xml:space="preserve">) e il </w:t>
      </w:r>
      <w:r w:rsidRPr="006D022C">
        <w:rPr>
          <w:i/>
          <w:iCs/>
        </w:rPr>
        <w:t xml:space="preserve">Benchmark </w:t>
      </w:r>
      <w:r w:rsidRPr="006D022C">
        <w:t>di riferimento</w:t>
      </w:r>
      <w:r w:rsidR="00AB5A3B">
        <w:t>, entrambi</w:t>
      </w:r>
      <w:r w:rsidRPr="006D022C">
        <w:t xml:space="preserve"> </w:t>
      </w:r>
      <w:r w:rsidR="00EE73C6">
        <w:t xml:space="preserve">relativi </w:t>
      </w:r>
      <w:r w:rsidR="00EE73C6">
        <w:lastRenderedPageBreak/>
        <w:t>all‘</w:t>
      </w:r>
      <w:r w:rsidRPr="006D022C">
        <w:t xml:space="preserve">anno </w:t>
      </w:r>
      <w:r w:rsidR="00860615" w:rsidRPr="006D022C">
        <w:t>2022</w:t>
      </w:r>
      <w:r w:rsidRPr="006D022C">
        <w:t xml:space="preserve">, </w:t>
      </w:r>
      <w:r w:rsidR="00AB5A3B">
        <w:t xml:space="preserve">nonché </w:t>
      </w:r>
      <w:r w:rsidRPr="006D022C">
        <w:t>de</w:t>
      </w:r>
      <w:r w:rsidR="004D0592">
        <w:t>lle proprie valutazioni su</w:t>
      </w:r>
      <w:r w:rsidRPr="006D022C">
        <w:t xml:space="preserve">i risultati di raccolta differenziata e di preparazione per il riutilizzo ed il riciclo conseguiti nell’anno </w:t>
      </w:r>
      <w:r w:rsidRPr="006D022C">
        <w:rPr>
          <w:i/>
        </w:rPr>
        <w:t>a-2</w:t>
      </w:r>
      <w:r w:rsidRPr="006D022C">
        <w:t xml:space="preserve"> (202</w:t>
      </w:r>
      <w:r w:rsidR="00F119BB" w:rsidRPr="006D022C">
        <w:t>2</w:t>
      </w:r>
      <w:r w:rsidRPr="006D022C">
        <w:t>, 202</w:t>
      </w:r>
      <w:r w:rsidR="00F119BB" w:rsidRPr="006D022C">
        <w:t>3</w:t>
      </w:r>
      <w:r w:rsidRPr="006D022C">
        <w:t>),</w:t>
      </w:r>
      <w:r w:rsidR="004D0592">
        <w:t xml:space="preserve"> </w:t>
      </w:r>
      <w:r w:rsidR="00FB416C">
        <w:t xml:space="preserve">illustra le proprie decisioni </w:t>
      </w:r>
      <w:r w:rsidR="00D63B51">
        <w:t xml:space="preserve">in merito alla valorizzazione del coefficiente di recupero di produttività </w:t>
      </w:r>
      <w:r w:rsidR="008D550A" w:rsidRPr="00045BAF">
        <w:rPr>
          <w:i/>
          <w:iCs/>
        </w:rPr>
        <w:t>X</w:t>
      </w:r>
      <w:r w:rsidR="007C7571">
        <w:t>.</w:t>
      </w:r>
    </w:p>
    <w:p w14:paraId="5E5EDCB2" w14:textId="6C48A691" w:rsidR="009C0BA3" w:rsidRPr="00B90A01" w:rsidRDefault="003102EC" w:rsidP="00AC3DB6">
      <w:pPr>
        <w:rPr>
          <w:iCs/>
        </w:rPr>
      </w:pPr>
      <w:r>
        <w:t>L</w:t>
      </w:r>
      <w:r w:rsidR="00211A02">
        <w:t>’Ente territorialmente competente</w:t>
      </w:r>
      <w:r>
        <w:t xml:space="preserve"> indica, in particolare, </w:t>
      </w:r>
      <w:r w:rsidRPr="009C0BA3">
        <w:t>le valutazioni compiute in ordine</w:t>
      </w:r>
      <w:r w:rsidR="007C7571">
        <w:t xml:space="preserve"> </w:t>
      </w:r>
      <w:r w:rsidR="00C66230">
        <w:t xml:space="preserve">al </w:t>
      </w:r>
      <w:r w:rsidR="00C66230" w:rsidRPr="009C0BA3">
        <w:t xml:space="preserve">livello di qualità ambientale </w:t>
      </w:r>
      <w:r w:rsidR="00C66230">
        <w:t xml:space="preserve">della gestione, </w:t>
      </w:r>
      <w:r w:rsidR="00693F08">
        <w:t xml:space="preserve">specificando </w:t>
      </w:r>
      <w:r w:rsidR="009C0BA3" w:rsidRPr="009C0BA3">
        <w:t xml:space="preserve">i valori di </w:t>
      </w:r>
      <w:r w:rsidR="009C0BA3" w:rsidRPr="00243F7A">
        <w:rPr>
          <w:rFonts w:ascii="Cambria Math" w:hAnsi="Cambria Math" w:cs="Cambria Math"/>
          <w:i/>
        </w:rPr>
        <w:t>𝛾</w:t>
      </w:r>
      <w:r w:rsidR="009C0BA3" w:rsidRPr="00243F7A">
        <w:rPr>
          <w:i/>
          <w:vertAlign w:val="subscript"/>
        </w:rPr>
        <w:t>1</w:t>
      </w:r>
      <w:r w:rsidR="009C0BA3" w:rsidRPr="009C0BA3">
        <w:t xml:space="preserve"> e </w:t>
      </w:r>
      <w:r w:rsidR="009C0BA3" w:rsidRPr="00243F7A">
        <w:rPr>
          <w:rFonts w:ascii="Cambria Math" w:hAnsi="Cambria Math" w:cs="Cambria Math"/>
          <w:i/>
        </w:rPr>
        <w:t>𝛾</w:t>
      </w:r>
      <w:r w:rsidR="009C0BA3" w:rsidRPr="00243F7A">
        <w:rPr>
          <w:i/>
          <w:vertAlign w:val="subscript"/>
        </w:rPr>
        <w:t>2</w:t>
      </w:r>
      <w:r w:rsidR="009C0BA3" w:rsidRPr="009C0BA3">
        <w:t xml:space="preserve"> </w:t>
      </w:r>
      <w:r w:rsidR="00693F08">
        <w:t>individuati</w:t>
      </w:r>
      <w:r w:rsidR="009C0BA3" w:rsidRPr="009C0BA3">
        <w:t>.</w:t>
      </w:r>
      <w:r w:rsidR="00B90A01">
        <w:t xml:space="preserve"> Con riferimento al valore di </w:t>
      </w:r>
      <w:r w:rsidR="00B90A01" w:rsidRPr="00243F7A">
        <w:rPr>
          <w:rFonts w:ascii="Cambria Math" w:hAnsi="Cambria Math" w:cs="Cambria Math"/>
          <w:i/>
        </w:rPr>
        <w:t>𝛾</w:t>
      </w:r>
      <w:r w:rsidR="00B90A01" w:rsidRPr="00243F7A">
        <w:rPr>
          <w:i/>
          <w:vertAlign w:val="subscript"/>
        </w:rPr>
        <w:t>2</w:t>
      </w:r>
      <w:r w:rsidR="00F84E6A">
        <w:rPr>
          <w:i/>
          <w:vertAlign w:val="subscript"/>
        </w:rPr>
        <w:t xml:space="preserve">, </w:t>
      </w:r>
      <w:r w:rsidR="00F84E6A">
        <w:rPr>
          <w:iCs/>
        </w:rPr>
        <w:t xml:space="preserve">l’Ente territorialmente competente </w:t>
      </w:r>
      <w:r w:rsidR="006F13BF">
        <w:rPr>
          <w:iCs/>
        </w:rPr>
        <w:t xml:space="preserve">rappresenta, ai fini dell’attribuzione </w:t>
      </w:r>
      <w:r w:rsidR="00B4344B">
        <w:rPr>
          <w:iCs/>
        </w:rPr>
        <w:t>della</w:t>
      </w:r>
      <w:r w:rsidR="001818B6">
        <w:rPr>
          <w:iCs/>
        </w:rPr>
        <w:t xml:space="preserve"> propria</w:t>
      </w:r>
      <w:r w:rsidR="006F13BF">
        <w:rPr>
          <w:iCs/>
        </w:rPr>
        <w:t xml:space="preserve"> valutazione, </w:t>
      </w:r>
      <w:r w:rsidR="00BA1EA9">
        <w:rPr>
          <w:iCs/>
        </w:rPr>
        <w:t>il soddisfacimento</w:t>
      </w:r>
      <w:r w:rsidR="000632BC">
        <w:rPr>
          <w:iCs/>
        </w:rPr>
        <w:t xml:space="preserve"> o il mancato soddisfacimento</w:t>
      </w:r>
      <w:r w:rsidR="00BA1EA9">
        <w:rPr>
          <w:iCs/>
        </w:rPr>
        <w:t xml:space="preserve"> della condizione di cui al comma 3.1bis del MTR-2 aggiornato</w:t>
      </w:r>
      <w:r w:rsidR="00861735">
        <w:rPr>
          <w:iCs/>
        </w:rPr>
        <w:t xml:space="preserve">, </w:t>
      </w:r>
      <w:r w:rsidR="00C90584">
        <w:rPr>
          <w:iCs/>
        </w:rPr>
        <w:t>in coerenza con il</w:t>
      </w:r>
      <w:r w:rsidR="00861735">
        <w:rPr>
          <w:iCs/>
        </w:rPr>
        <w:t xml:space="preserve"> </w:t>
      </w:r>
      <w:r w:rsidR="00146C9A">
        <w:rPr>
          <w:iCs/>
        </w:rPr>
        <w:t xml:space="preserve">già richiamato </w:t>
      </w:r>
      <w:r w:rsidR="00861735">
        <w:rPr>
          <w:iCs/>
        </w:rPr>
        <w:t>macro-indicatore R1</w:t>
      </w:r>
      <w:r w:rsidR="00E140B2">
        <w:rPr>
          <w:iCs/>
        </w:rPr>
        <w:t>.</w:t>
      </w:r>
    </w:p>
    <w:p w14:paraId="6764A359" w14:textId="77777777" w:rsidR="00AC3DB6" w:rsidRDefault="00AC3DB6" w:rsidP="00AC3DB6">
      <w:pPr>
        <w:rPr>
          <w:b/>
          <w:bCs/>
        </w:rPr>
      </w:pPr>
    </w:p>
    <w:p w14:paraId="7735AC61" w14:textId="563FC490" w:rsidR="00AC3DB6" w:rsidRPr="0075609F" w:rsidRDefault="00AC3DB6" w:rsidP="00BC1E8A">
      <w:pPr>
        <w:pStyle w:val="Titolo3"/>
        <w:tabs>
          <w:tab w:val="clear" w:pos="4831"/>
          <w:tab w:val="num" w:pos="720"/>
        </w:tabs>
        <w:ind w:left="720"/>
      </w:pPr>
      <w:bookmarkStart w:id="123" w:name="_Toc86134965"/>
      <w:bookmarkStart w:id="124" w:name="_Toc86135054"/>
      <w:bookmarkStart w:id="125" w:name="_Toc86135648"/>
      <w:bookmarkStart w:id="126" w:name="_Toc149660951"/>
      <w:r w:rsidRPr="00AC3DB6">
        <w:t>Coefficienti QL (variazioni delle caratteristiche del servizio) e PG (variazioni di perimetro gestionale)</w:t>
      </w:r>
      <w:bookmarkEnd w:id="123"/>
      <w:bookmarkEnd w:id="124"/>
      <w:bookmarkEnd w:id="125"/>
      <w:bookmarkEnd w:id="126"/>
    </w:p>
    <w:p w14:paraId="61230896" w14:textId="77777777" w:rsidR="00AC3DB6" w:rsidRPr="00613C2C" w:rsidRDefault="00AC3DB6" w:rsidP="00BC1E8A">
      <w:pPr>
        <w:spacing w:after="120"/>
      </w:pPr>
      <w:r w:rsidRPr="00613C2C">
        <w:t>Per ciascun ambito tariffario l’Ente territorialmente competente indica:</w:t>
      </w:r>
    </w:p>
    <w:p w14:paraId="180D4C5E" w14:textId="4A9F8F11" w:rsidR="00AC3DB6" w:rsidRPr="00BC1E8A" w:rsidRDefault="00AC3DB6" w:rsidP="00BC1E8A">
      <w:pPr>
        <w:pStyle w:val="Paragrafoelenco"/>
        <w:numPr>
          <w:ilvl w:val="0"/>
          <w:numId w:val="46"/>
        </w:numPr>
        <w:spacing w:after="120"/>
        <w:ind w:left="714" w:hanging="357"/>
        <w:contextualSpacing w:val="0"/>
        <w:jc w:val="both"/>
        <w:rPr>
          <w:sz w:val="24"/>
          <w:szCs w:val="24"/>
          <w:lang w:eastAsia="en-GB"/>
        </w:rPr>
      </w:pPr>
      <w:r w:rsidRPr="00BC1E8A">
        <w:rPr>
          <w:sz w:val="24"/>
          <w:szCs w:val="24"/>
          <w:lang w:eastAsia="en-GB"/>
        </w:rPr>
        <w:t xml:space="preserve">il valore del coefficiente </w:t>
      </w:r>
      <w:r w:rsidRPr="00BC1E8A">
        <w:rPr>
          <w:i/>
          <w:iCs/>
          <w:sz w:val="24"/>
          <w:szCs w:val="24"/>
          <w:lang w:eastAsia="en-GB"/>
        </w:rPr>
        <w:t>QL</w:t>
      </w:r>
      <w:r w:rsidR="000206A5" w:rsidRPr="00BC1E8A">
        <w:rPr>
          <w:i/>
          <w:iCs/>
          <w:sz w:val="24"/>
          <w:szCs w:val="24"/>
          <w:vertAlign w:val="subscript"/>
          <w:lang w:eastAsia="en-GB"/>
        </w:rPr>
        <w:t>a</w:t>
      </w:r>
      <w:r w:rsidRPr="00BC1E8A">
        <w:rPr>
          <w:sz w:val="24"/>
          <w:szCs w:val="24"/>
          <w:lang w:eastAsia="en-GB"/>
        </w:rPr>
        <w:t xml:space="preserve"> assunto per </w:t>
      </w:r>
      <w:r w:rsidR="00556226">
        <w:rPr>
          <w:sz w:val="24"/>
          <w:szCs w:val="24"/>
          <w:lang w:eastAsia="en-GB"/>
        </w:rPr>
        <w:t>entrambe le annualità del biennio 2024-2025</w:t>
      </w:r>
      <w:r w:rsidRPr="00BC1E8A">
        <w:rPr>
          <w:sz w:val="24"/>
          <w:szCs w:val="24"/>
          <w:lang w:eastAsia="en-GB"/>
        </w:rPr>
        <w:t xml:space="preserve"> e le motivazioni sottese, descrivendo il/i miglioramento/i previsto/i nella qualità e/o nelle caratteristiche delle prestazioni erogate agli utenti, </w:t>
      </w:r>
      <w:r w:rsidR="008A7992">
        <w:rPr>
          <w:sz w:val="24"/>
          <w:szCs w:val="24"/>
          <w:lang w:eastAsia="en-GB"/>
        </w:rPr>
        <w:t>ivi inclusi</w:t>
      </w:r>
      <w:r w:rsidRPr="00BC1E8A">
        <w:rPr>
          <w:sz w:val="24"/>
          <w:szCs w:val="24"/>
          <w:lang w:eastAsia="en-GB"/>
        </w:rPr>
        <w:t xml:space="preserve"> gli adeguamenti rispetto a</w:t>
      </w:r>
      <w:r w:rsidR="00825911">
        <w:rPr>
          <w:sz w:val="24"/>
          <w:szCs w:val="24"/>
          <w:lang w:eastAsia="en-GB"/>
        </w:rPr>
        <w:t>gli</w:t>
      </w:r>
      <w:r w:rsidRPr="00BC1E8A">
        <w:rPr>
          <w:sz w:val="24"/>
          <w:szCs w:val="24"/>
          <w:lang w:eastAsia="en-GB"/>
        </w:rPr>
        <w:t xml:space="preserve"> standard di qualità introdotti dall’Autorità;</w:t>
      </w:r>
    </w:p>
    <w:p w14:paraId="51377EE0" w14:textId="1BC4BF9D" w:rsidR="00AC3DB6" w:rsidRPr="00BC1E8A" w:rsidRDefault="00AC3DB6" w:rsidP="00BC1E8A">
      <w:pPr>
        <w:pStyle w:val="Paragrafoelenco"/>
        <w:numPr>
          <w:ilvl w:val="0"/>
          <w:numId w:val="46"/>
        </w:numPr>
        <w:spacing w:after="120"/>
        <w:ind w:left="714" w:hanging="357"/>
        <w:contextualSpacing w:val="0"/>
        <w:jc w:val="both"/>
        <w:rPr>
          <w:sz w:val="24"/>
          <w:szCs w:val="24"/>
          <w:lang w:eastAsia="en-GB"/>
        </w:rPr>
      </w:pPr>
      <w:r w:rsidRPr="00BC1E8A">
        <w:rPr>
          <w:sz w:val="24"/>
          <w:szCs w:val="24"/>
          <w:lang w:eastAsia="en-GB"/>
        </w:rPr>
        <w:t xml:space="preserve">il valore del coefficiente </w:t>
      </w:r>
      <w:r w:rsidRPr="00BC1E8A">
        <w:rPr>
          <w:i/>
          <w:iCs/>
          <w:sz w:val="24"/>
          <w:szCs w:val="24"/>
          <w:lang w:eastAsia="en-GB"/>
        </w:rPr>
        <w:t>PG</w:t>
      </w:r>
      <w:r w:rsidR="000206A5" w:rsidRPr="00BC1E8A">
        <w:rPr>
          <w:i/>
          <w:iCs/>
          <w:sz w:val="24"/>
          <w:szCs w:val="24"/>
          <w:vertAlign w:val="subscript"/>
          <w:lang w:eastAsia="en-GB"/>
        </w:rPr>
        <w:t>a</w:t>
      </w:r>
      <w:r w:rsidRPr="00BC1E8A">
        <w:rPr>
          <w:sz w:val="24"/>
          <w:szCs w:val="24"/>
          <w:lang w:eastAsia="en-GB"/>
        </w:rPr>
        <w:t xml:space="preserve"> assunto per </w:t>
      </w:r>
      <w:r w:rsidR="00144A4D">
        <w:rPr>
          <w:sz w:val="24"/>
          <w:szCs w:val="24"/>
          <w:lang w:eastAsia="en-GB"/>
        </w:rPr>
        <w:t>entrambe le annualità del biennio 2024-2025</w:t>
      </w:r>
      <w:r w:rsidRPr="00BC1E8A">
        <w:rPr>
          <w:sz w:val="24"/>
          <w:szCs w:val="24"/>
          <w:lang w:eastAsia="en-GB"/>
        </w:rPr>
        <w:t xml:space="preserve"> e le motivazioni sottese.</w:t>
      </w:r>
    </w:p>
    <w:p w14:paraId="590B3136" w14:textId="2412116A" w:rsidR="00AC3DB6" w:rsidRDefault="00AC3DB6" w:rsidP="00AC3DB6">
      <w:r>
        <w:t xml:space="preserve">Sulla base di tali valori l’Ente territorialmente competente definisce il quadrante di riferimento della gestione per </w:t>
      </w:r>
      <w:r w:rsidR="0093517A">
        <w:rPr>
          <w:lang w:eastAsia="en-GB"/>
        </w:rPr>
        <w:t>entrambe le annualità del biennio 2024-2025</w:t>
      </w:r>
      <w:r w:rsidR="00906F4F">
        <w:rPr>
          <w:lang w:eastAsia="en-GB"/>
        </w:rPr>
        <w:t xml:space="preserve"> (articolo 4.3 del MTR-2 aggiornato)</w:t>
      </w:r>
      <w:r>
        <w:t xml:space="preserve">. </w:t>
      </w:r>
    </w:p>
    <w:p w14:paraId="0F9A87D2" w14:textId="77777777" w:rsidR="0075609F" w:rsidRDefault="0075609F" w:rsidP="00AC3DB6"/>
    <w:p w14:paraId="0271D1D5" w14:textId="4311C53B" w:rsidR="0075609F" w:rsidRPr="0075609F" w:rsidRDefault="0075609F" w:rsidP="00BC1E8A">
      <w:pPr>
        <w:pStyle w:val="Titolo3"/>
        <w:tabs>
          <w:tab w:val="clear" w:pos="4831"/>
          <w:tab w:val="num" w:pos="720"/>
        </w:tabs>
        <w:ind w:left="720"/>
      </w:pPr>
      <w:bookmarkStart w:id="127" w:name="_Toc86134966"/>
      <w:bookmarkStart w:id="128" w:name="_Toc86135055"/>
      <w:bookmarkStart w:id="129" w:name="_Toc86135649"/>
      <w:bookmarkStart w:id="130" w:name="_Toc149660952"/>
      <w:r w:rsidRPr="0075609F">
        <w:t xml:space="preserve">Coefficiente </w:t>
      </w:r>
      <w:r w:rsidR="00ED76E9">
        <w:t>C</w:t>
      </w:r>
      <w:r w:rsidRPr="0075609F">
        <w:t>116</w:t>
      </w:r>
      <w:bookmarkEnd w:id="127"/>
      <w:bookmarkEnd w:id="128"/>
      <w:bookmarkEnd w:id="129"/>
      <w:bookmarkEnd w:id="130"/>
    </w:p>
    <w:p w14:paraId="638B93DF" w14:textId="2D669EF7" w:rsidR="0075609F" w:rsidRDefault="0075609F" w:rsidP="0075609F">
      <w:r>
        <w:t xml:space="preserve">L’Ente territorialmente competente dà conto delle valutazioni connesse alla valorizzazione del coefficiente </w:t>
      </w:r>
      <w:r w:rsidRPr="00BC1E8A">
        <w:rPr>
          <w:i/>
          <w:iCs/>
        </w:rPr>
        <w:t>C</w:t>
      </w:r>
      <w:r w:rsidR="00B4628E" w:rsidRPr="00B4628E">
        <w:rPr>
          <w:i/>
          <w:iCs/>
        </w:rPr>
        <w:t>116</w:t>
      </w:r>
      <w:r>
        <w:t xml:space="preserve"> per </w:t>
      </w:r>
      <w:r w:rsidR="003F1A4F">
        <w:rPr>
          <w:lang w:eastAsia="en-GB"/>
        </w:rPr>
        <w:t>entrambe le annualità del biennio 2024-2025</w:t>
      </w:r>
      <w:r w:rsidR="00CC4FC7">
        <w:rPr>
          <w:lang w:eastAsia="en-GB"/>
        </w:rPr>
        <w:t>,</w:t>
      </w:r>
      <w:r>
        <w:t xml:space="preserve"> con particolare riferimento alla quantificazione delle componenti di natura previsionale </w:t>
      </w:r>
      <w:r w:rsidRPr="00BC1E8A">
        <w:rPr>
          <w:i/>
          <w:iCs/>
        </w:rPr>
        <w:t>CO</w:t>
      </w:r>
      <w:r w:rsidRPr="00BC1E8A">
        <w:rPr>
          <w:i/>
          <w:iCs/>
          <w:vertAlign w:val="subscript"/>
        </w:rPr>
        <w:t>116</w:t>
      </w:r>
      <w:r>
        <w:t xml:space="preserve"> esposte dal gestore del servizio integrato o da uno o più gestori dei singoli servizi che lo compongono. </w:t>
      </w:r>
    </w:p>
    <w:p w14:paraId="0C063383" w14:textId="77777777" w:rsidR="0075609F" w:rsidRDefault="0075609F" w:rsidP="0075609F"/>
    <w:p w14:paraId="76A52D28" w14:textId="0F6C44B5" w:rsidR="00AF297E" w:rsidRPr="0075609F" w:rsidRDefault="00AF297E" w:rsidP="00AF297E">
      <w:pPr>
        <w:pStyle w:val="Titolo3"/>
        <w:tabs>
          <w:tab w:val="clear" w:pos="4831"/>
          <w:tab w:val="num" w:pos="720"/>
        </w:tabs>
        <w:ind w:left="720"/>
      </w:pPr>
      <w:bookmarkStart w:id="131" w:name="_Toc149660953"/>
      <w:r w:rsidRPr="0075609F">
        <w:t xml:space="preserve">Coefficiente </w:t>
      </w:r>
      <w:r>
        <w:t>C</w:t>
      </w:r>
      <w:r w:rsidR="002B06E2">
        <w:t>RI</w:t>
      </w:r>
      <w:bookmarkEnd w:id="131"/>
    </w:p>
    <w:p w14:paraId="39C25556" w14:textId="3A73615E" w:rsidR="00AF297E" w:rsidRDefault="00AF297E" w:rsidP="00AF297E">
      <w:r>
        <w:t xml:space="preserve">L’Ente territorialmente competente dà conto delle valutazioni connesse alla valorizzazione del coefficiente </w:t>
      </w:r>
      <w:r w:rsidRPr="00BC1E8A">
        <w:rPr>
          <w:i/>
          <w:iCs/>
        </w:rPr>
        <w:t>C</w:t>
      </w:r>
      <w:r w:rsidR="00CC4FC7">
        <w:rPr>
          <w:i/>
          <w:iCs/>
        </w:rPr>
        <w:t>RI</w:t>
      </w:r>
      <w:r>
        <w:t xml:space="preserve"> per </w:t>
      </w:r>
      <w:r>
        <w:rPr>
          <w:lang w:eastAsia="en-GB"/>
        </w:rPr>
        <w:t>entrambe le annualità del biennio 2024-2025</w:t>
      </w:r>
      <w:r w:rsidR="005B652B">
        <w:t xml:space="preserve">, argomentando </w:t>
      </w:r>
      <w:r w:rsidR="00003D43">
        <w:t xml:space="preserve">con riferimento ai maggiori oneri </w:t>
      </w:r>
      <w:r w:rsidR="00D1719E">
        <w:t>riconducibili alla dinamica inflattiva dei prezzi dei fattori di produzione</w:t>
      </w:r>
      <w:r>
        <w:t xml:space="preserve">. </w:t>
      </w:r>
    </w:p>
    <w:p w14:paraId="6D47B546" w14:textId="77777777" w:rsidR="00AF297E" w:rsidRPr="00271F93" w:rsidRDefault="00AF297E" w:rsidP="0075609F"/>
    <w:p w14:paraId="40137FF8" w14:textId="1D6EE39A" w:rsidR="00AC3DB6" w:rsidRDefault="0075609F" w:rsidP="002A3122">
      <w:pPr>
        <w:pStyle w:val="Titolo2"/>
        <w:tabs>
          <w:tab w:val="clear" w:pos="5395"/>
        </w:tabs>
        <w:ind w:left="567"/>
      </w:pPr>
      <w:bookmarkStart w:id="132" w:name="_Toc86134967"/>
      <w:bookmarkStart w:id="133" w:name="_Toc86135056"/>
      <w:bookmarkStart w:id="134" w:name="_Toc86135650"/>
      <w:bookmarkStart w:id="135" w:name="_Toc149660954"/>
      <w:r w:rsidRPr="0075609F">
        <w:t>Costi operativi di gestione associati a specifiche finalità</w:t>
      </w:r>
      <w:bookmarkEnd w:id="132"/>
      <w:bookmarkEnd w:id="133"/>
      <w:bookmarkEnd w:id="134"/>
      <w:bookmarkEnd w:id="135"/>
    </w:p>
    <w:p w14:paraId="2FFEF893" w14:textId="67969BB8" w:rsidR="0075609F" w:rsidRPr="00172B1E" w:rsidRDefault="0075609F" w:rsidP="0075609F">
      <w:r w:rsidRPr="00172B1E">
        <w:t>In conformità alle previsioni contenute nell’articolo 9 del MTR-2</w:t>
      </w:r>
      <w:r w:rsidR="00C13F44">
        <w:t xml:space="preserve"> aggiornato</w:t>
      </w:r>
      <w:r w:rsidRPr="00172B1E">
        <w:t>, l’Ente territorialmente competente dà conto dei criteri utilizzati, anche su proposta del gestore, per l’eventuale quantificazione di una o più delle tre componenti di natura previsionale associate a specifiche finalità</w:t>
      </w:r>
      <w:r w:rsidR="00B6200A">
        <w:t xml:space="preserve">, anche attraverso il rimando a precedenti sezioni </w:t>
      </w:r>
      <w:r w:rsidR="0092066F">
        <w:t>della relazione di accompagnamento</w:t>
      </w:r>
      <w:r w:rsidRPr="00172B1E">
        <w:t xml:space="preserve">. </w:t>
      </w:r>
    </w:p>
    <w:p w14:paraId="108B8914" w14:textId="77777777" w:rsidR="0075609F" w:rsidRPr="0043039C" w:rsidRDefault="0075609F" w:rsidP="00CE6605"/>
    <w:p w14:paraId="1540C064" w14:textId="2E7B28F5" w:rsidR="0075609F" w:rsidRPr="0075609F" w:rsidRDefault="0075609F" w:rsidP="00BC1E8A">
      <w:pPr>
        <w:pStyle w:val="Titolo3"/>
        <w:tabs>
          <w:tab w:val="clear" w:pos="4831"/>
          <w:tab w:val="num" w:pos="720"/>
        </w:tabs>
        <w:ind w:left="720"/>
      </w:pPr>
      <w:r w:rsidRPr="0075609F">
        <w:t xml:space="preserve"> </w:t>
      </w:r>
      <w:bookmarkStart w:id="136" w:name="_Toc86134968"/>
      <w:bookmarkStart w:id="137" w:name="_Toc86135057"/>
      <w:bookmarkStart w:id="138" w:name="_Toc86135651"/>
      <w:bookmarkStart w:id="139" w:name="_Toc149660955"/>
      <w:r w:rsidRPr="0075609F">
        <w:t>Componente previsionale CO</w:t>
      </w:r>
      <w:r w:rsidRPr="008C6895">
        <w:rPr>
          <w:vertAlign w:val="subscript"/>
        </w:rPr>
        <w:t>116</w:t>
      </w:r>
      <w:bookmarkEnd w:id="136"/>
      <w:bookmarkEnd w:id="137"/>
      <w:bookmarkEnd w:id="138"/>
      <w:bookmarkEnd w:id="139"/>
    </w:p>
    <w:p w14:paraId="70217C17" w14:textId="25029F3A" w:rsidR="0075609F" w:rsidRPr="0075609F" w:rsidRDefault="00526A55" w:rsidP="00BC1E8A">
      <w:pPr>
        <w:spacing w:after="120"/>
        <w:rPr>
          <w:lang w:eastAsia="en-GB"/>
        </w:rPr>
      </w:pPr>
      <w:r w:rsidRPr="00AC2FD8">
        <w:rPr>
          <w:lang w:eastAsia="en-GB"/>
        </w:rPr>
        <w:t xml:space="preserve">Per ciascun anno di valorizzazione della </w:t>
      </w:r>
      <w:r w:rsidR="0075609F" w:rsidRPr="0075609F">
        <w:rPr>
          <w:lang w:eastAsia="en-GB"/>
        </w:rPr>
        <w:t xml:space="preserve">componente </w:t>
      </w:r>
      <w:bookmarkStart w:id="140" w:name="_Hlk85550823"/>
      <w:r w:rsidR="0075609F" w:rsidRPr="00BC1E8A">
        <w:rPr>
          <w:i/>
          <w:iCs/>
          <w:lang w:eastAsia="en-GB"/>
        </w:rPr>
        <w:t>CO</w:t>
      </w:r>
      <w:r w:rsidR="0075609F" w:rsidRPr="00BC1E8A">
        <w:rPr>
          <w:i/>
          <w:iCs/>
          <w:vertAlign w:val="subscript"/>
          <w:lang w:eastAsia="en-GB"/>
        </w:rPr>
        <w:t>116</w:t>
      </w:r>
      <w:bookmarkEnd w:id="140"/>
      <w:r w:rsidR="0075609F" w:rsidRPr="0075609F">
        <w:rPr>
          <w:lang w:eastAsia="en-GB"/>
        </w:rPr>
        <w:t>, l’Ente territorialmente competente indica:</w:t>
      </w:r>
    </w:p>
    <w:p w14:paraId="4FA26E4C" w14:textId="6B873150" w:rsidR="0075609F" w:rsidRPr="00B22AE2" w:rsidRDefault="0075609F" w:rsidP="00BC1E8A">
      <w:pPr>
        <w:pStyle w:val="Paragrafoelenco"/>
        <w:numPr>
          <w:ilvl w:val="0"/>
          <w:numId w:val="46"/>
        </w:numPr>
        <w:spacing w:after="120"/>
        <w:jc w:val="both"/>
        <w:rPr>
          <w:lang w:eastAsia="en-GB"/>
        </w:rPr>
      </w:pPr>
      <w:r w:rsidRPr="00B22AE2">
        <w:rPr>
          <w:sz w:val="24"/>
          <w:szCs w:val="24"/>
          <w:lang w:eastAsia="en-GB"/>
        </w:rPr>
        <w:t>se la qualificazione di rifiuti urbani prodotti da utenze non domestiche introdotta dal decreto legislativo n. 116/2020 interessa un insieme più ampio ovvero più contenuto di quello delineato in virtù del previgente regime di assimilazione disciplinato a livello locale;</w:t>
      </w:r>
    </w:p>
    <w:p w14:paraId="256E41D6" w14:textId="3C7BC672" w:rsidR="0075609F" w:rsidRPr="00B22AE2" w:rsidRDefault="0075609F" w:rsidP="00BC1E8A">
      <w:pPr>
        <w:pStyle w:val="Paragrafoelenco"/>
        <w:numPr>
          <w:ilvl w:val="0"/>
          <w:numId w:val="46"/>
        </w:numPr>
        <w:spacing w:after="120"/>
        <w:jc w:val="both"/>
        <w:rPr>
          <w:lang w:eastAsia="en-GB"/>
        </w:rPr>
      </w:pPr>
      <w:r w:rsidRPr="00B22AE2">
        <w:rPr>
          <w:sz w:val="24"/>
          <w:szCs w:val="24"/>
          <w:lang w:eastAsia="en-GB"/>
        </w:rPr>
        <w:lastRenderedPageBreak/>
        <w:t>se la valorizzazione approvata si basa su una previsione di riduzione della quantità di rifiuti gestiti dal servizio pubblico per effetto dell’opzione offerta dall’articolo 238, comma 10 del decreto legislativo n. 152/06 alle utenze non domestiche e/o tiene conto dell’esigenza di mantenere una capacità di gestione di riserva per far fronte alla facoltà di rientro nel perimetro di erogazione del servizio pubblico riconosciuta dalla medesima disposizione di legge.</w:t>
      </w:r>
    </w:p>
    <w:p w14:paraId="11E07B9F" w14:textId="48404FDF" w:rsidR="0075609F" w:rsidRDefault="0075609F" w:rsidP="0075609F">
      <w:pPr>
        <w:rPr>
          <w:lang w:eastAsia="en-GB"/>
        </w:rPr>
      </w:pPr>
      <w:r w:rsidRPr="0075609F">
        <w:rPr>
          <w:lang w:eastAsia="en-GB"/>
        </w:rPr>
        <w:t xml:space="preserve">L’Ente territorialmente competente dà altresì atto di eventuali ulteriori valutazioni compiute. </w:t>
      </w:r>
    </w:p>
    <w:p w14:paraId="5FFFD7B2" w14:textId="77777777" w:rsidR="0075609F" w:rsidRDefault="0075609F" w:rsidP="0075609F">
      <w:pPr>
        <w:rPr>
          <w:b/>
          <w:bCs/>
          <w:lang w:eastAsia="en-GB"/>
        </w:rPr>
      </w:pPr>
    </w:p>
    <w:p w14:paraId="019237D0" w14:textId="18A7153D" w:rsidR="0043039C" w:rsidRPr="0043039C" w:rsidRDefault="0043039C" w:rsidP="00BC1E8A">
      <w:pPr>
        <w:pStyle w:val="Titolo3"/>
        <w:tabs>
          <w:tab w:val="clear" w:pos="4831"/>
          <w:tab w:val="num" w:pos="720"/>
        </w:tabs>
        <w:ind w:left="720"/>
      </w:pPr>
      <w:bookmarkStart w:id="141" w:name="_Toc86134969"/>
      <w:bookmarkStart w:id="142" w:name="_Toc86135058"/>
      <w:bookmarkStart w:id="143" w:name="_Toc86135652"/>
      <w:bookmarkStart w:id="144" w:name="_Toc149660956"/>
      <w:r w:rsidRPr="0043039C">
        <w:t>Componente previsionale CQ</w:t>
      </w:r>
      <w:bookmarkEnd w:id="141"/>
      <w:bookmarkEnd w:id="142"/>
      <w:bookmarkEnd w:id="143"/>
      <w:bookmarkEnd w:id="144"/>
    </w:p>
    <w:p w14:paraId="03AC6BF9" w14:textId="35C86807" w:rsidR="0075609F" w:rsidRPr="0075609F" w:rsidRDefault="00AC2FD8" w:rsidP="0075609F">
      <w:pPr>
        <w:rPr>
          <w:lang w:eastAsia="en-GB"/>
        </w:rPr>
      </w:pPr>
      <w:r w:rsidRPr="00AC2FD8">
        <w:rPr>
          <w:lang w:eastAsia="en-GB"/>
        </w:rPr>
        <w:t xml:space="preserve">Per ciascun anno di valorizzazione della </w:t>
      </w:r>
      <w:r w:rsidR="0075609F" w:rsidRPr="0075609F">
        <w:rPr>
          <w:lang w:eastAsia="en-GB"/>
        </w:rPr>
        <w:t xml:space="preserve">componente </w:t>
      </w:r>
      <w:r w:rsidR="0075609F" w:rsidRPr="00BC1E8A">
        <w:rPr>
          <w:i/>
          <w:iCs/>
          <w:lang w:eastAsia="en-GB"/>
        </w:rPr>
        <w:t>CQ</w:t>
      </w:r>
      <w:r w:rsidR="0075609F" w:rsidRPr="0075609F">
        <w:rPr>
          <w:lang w:eastAsia="en-GB"/>
        </w:rPr>
        <w:t>, l’Ente territorialmente competente indica la quantificazione degli oneri aggiuntivi, variabili e fissi, approvati per l’adeguamento agli standard introdotti dall’Autorità e non già ricompresi nel previgente contratto di servizio</w:t>
      </w:r>
      <w:r w:rsidR="00C83FF5">
        <w:rPr>
          <w:lang w:eastAsia="en-GB"/>
        </w:rPr>
        <w:t>,</w:t>
      </w:r>
      <w:r w:rsidR="003515C4">
        <w:rPr>
          <w:lang w:eastAsia="en-GB"/>
        </w:rPr>
        <w:t xml:space="preserve"> specificando</w:t>
      </w:r>
      <w:r w:rsidR="00C83FF5">
        <w:rPr>
          <w:lang w:eastAsia="en-GB"/>
        </w:rPr>
        <w:t xml:space="preserve"> </w:t>
      </w:r>
      <w:r w:rsidR="003515C4">
        <w:rPr>
          <w:lang w:eastAsia="en-GB"/>
        </w:rPr>
        <w:t xml:space="preserve">a quali costi incrementali siano </w:t>
      </w:r>
      <w:r w:rsidR="00CD2F33" w:rsidRPr="00CD2F33">
        <w:rPr>
          <w:lang w:eastAsia="en-GB"/>
        </w:rPr>
        <w:t>principalmente riconducibil</w:t>
      </w:r>
      <w:r w:rsidR="003515C4">
        <w:rPr>
          <w:lang w:eastAsia="en-GB"/>
        </w:rPr>
        <w:t>i (a titolo esemplificativo,</w:t>
      </w:r>
      <w:r w:rsidR="00CD2F33" w:rsidRPr="00CD2F33">
        <w:rPr>
          <w:lang w:eastAsia="en-GB"/>
        </w:rPr>
        <w:t xml:space="preserve"> </w:t>
      </w:r>
      <w:r w:rsidR="003515C4">
        <w:rPr>
          <w:lang w:eastAsia="en-GB"/>
        </w:rPr>
        <w:t xml:space="preserve">costi </w:t>
      </w:r>
      <w:r w:rsidR="00CD2F33" w:rsidRPr="00CD2F33">
        <w:rPr>
          <w:lang w:eastAsia="en-GB"/>
        </w:rPr>
        <w:t>di personale</w:t>
      </w:r>
      <w:r w:rsidR="005A7C87">
        <w:rPr>
          <w:lang w:eastAsia="en-GB"/>
        </w:rPr>
        <w:t>,</w:t>
      </w:r>
      <w:r w:rsidR="00CD2F33" w:rsidRPr="00CD2F33">
        <w:rPr>
          <w:lang w:eastAsia="en-GB"/>
        </w:rPr>
        <w:t xml:space="preserve"> costi di adeguamento dei sistemi informativi</w:t>
      </w:r>
      <w:r w:rsidR="003515C4">
        <w:rPr>
          <w:lang w:eastAsia="en-GB"/>
        </w:rPr>
        <w:t>), nonché</w:t>
      </w:r>
      <w:r w:rsidR="005F4030">
        <w:rPr>
          <w:lang w:eastAsia="en-GB"/>
        </w:rPr>
        <w:t xml:space="preserve"> </w:t>
      </w:r>
      <w:r w:rsidR="00F86EFD">
        <w:rPr>
          <w:lang w:eastAsia="en-GB"/>
        </w:rPr>
        <w:t>a quali</w:t>
      </w:r>
      <w:r w:rsidR="00CD2F33" w:rsidRPr="00CD2F33">
        <w:rPr>
          <w:lang w:eastAsia="en-GB"/>
        </w:rPr>
        <w:t xml:space="preserve"> obblighi e indicatori recati dal TQRIF </w:t>
      </w:r>
      <w:r w:rsidR="00374A79">
        <w:rPr>
          <w:lang w:eastAsia="en-GB"/>
        </w:rPr>
        <w:t>sia necessario adeguarsi.</w:t>
      </w:r>
    </w:p>
    <w:p w14:paraId="421E3C9F" w14:textId="01F8D470" w:rsidR="0075609F" w:rsidRPr="00ED393C" w:rsidRDefault="0075609F" w:rsidP="0075609F">
      <w:pPr>
        <w:rPr>
          <w:b/>
          <w:bCs/>
          <w:lang w:eastAsia="en-GB"/>
        </w:rPr>
      </w:pPr>
      <w:r w:rsidRPr="0075609F">
        <w:rPr>
          <w:b/>
          <w:bCs/>
          <w:lang w:eastAsia="en-GB"/>
        </w:rPr>
        <w:t xml:space="preserve">  </w:t>
      </w:r>
    </w:p>
    <w:p w14:paraId="53873EB5" w14:textId="5EC63B07" w:rsidR="00DD0FC4" w:rsidRPr="00773DFA" w:rsidRDefault="00DD0FC4" w:rsidP="00BC1E8A">
      <w:pPr>
        <w:pStyle w:val="Titolo3"/>
        <w:tabs>
          <w:tab w:val="clear" w:pos="4831"/>
          <w:tab w:val="num" w:pos="720"/>
        </w:tabs>
        <w:ind w:left="720"/>
      </w:pPr>
      <w:bookmarkStart w:id="145" w:name="_Toc149660957"/>
      <w:bookmarkStart w:id="146" w:name="_Toc86134970"/>
      <w:bookmarkStart w:id="147" w:name="_Toc86135059"/>
      <w:bookmarkStart w:id="148" w:name="_Toc86135653"/>
      <w:r w:rsidRPr="00ED393C">
        <w:t>C</w:t>
      </w:r>
      <w:r w:rsidR="0075609F" w:rsidRPr="00ED393C">
        <w:t>omponente previsionale COI</w:t>
      </w:r>
      <w:bookmarkEnd w:id="145"/>
      <w:r w:rsidR="0075609F" w:rsidRPr="0043039C">
        <w:t xml:space="preserve"> </w:t>
      </w:r>
      <w:bookmarkEnd w:id="146"/>
      <w:bookmarkEnd w:id="147"/>
      <w:bookmarkEnd w:id="148"/>
    </w:p>
    <w:p w14:paraId="6FBEFD18" w14:textId="3552E559" w:rsidR="00B07237" w:rsidRDefault="0075609F" w:rsidP="0075609F">
      <w:r w:rsidRPr="0075609F">
        <w:t>Sulla base dei costi operativi incentivanti proposti dal/i gestore/i</w:t>
      </w:r>
      <w:r w:rsidR="007027AC">
        <w:t xml:space="preserve"> per una o </w:t>
      </w:r>
      <w:r w:rsidR="00200E5F">
        <w:t>entrambe le</w:t>
      </w:r>
      <w:r w:rsidR="007027AC">
        <w:t xml:space="preserve"> annualità</w:t>
      </w:r>
      <w:r w:rsidRPr="0075609F">
        <w:t>, l’Ente territorialmente competente indica</w:t>
      </w:r>
      <w:r w:rsidR="00526A55">
        <w:t>, per ogni anno di valorizzazione,</w:t>
      </w:r>
      <w:r w:rsidRPr="0075609F">
        <w:t xml:space="preserve"> il dettaglio di ciascuna delle componenti di </w:t>
      </w:r>
      <w:r w:rsidR="00526A55" w:rsidRPr="0075609F">
        <w:t>cost</w:t>
      </w:r>
      <w:r w:rsidR="00526A55">
        <w:t>o</w:t>
      </w:r>
      <w:r w:rsidR="00526A55" w:rsidRPr="0075609F">
        <w:t xml:space="preserve"> operativ</w:t>
      </w:r>
      <w:r w:rsidR="00526A55">
        <w:t>o</w:t>
      </w:r>
      <w:r w:rsidR="00526A55" w:rsidRPr="0075609F">
        <w:t xml:space="preserve"> incentivant</w:t>
      </w:r>
      <w:r w:rsidR="00526A55">
        <w:t>e</w:t>
      </w:r>
      <w:r w:rsidR="00526A55" w:rsidRPr="0075609F">
        <w:t xml:space="preserve"> </w:t>
      </w:r>
      <w:r w:rsidRPr="0075609F">
        <w:t xml:space="preserve">approvata ed il target di miglioramento da conseguire associato a ciascuna componente, nonché le valutazioni compiute in ordine alla verificabilità dei dati di costo utilizzati per la loro quantificazione e </w:t>
      </w:r>
      <w:r w:rsidR="00526A55">
        <w:t>a</w:t>
      </w:r>
      <w:r w:rsidR="00526A55" w:rsidRPr="0075609F">
        <w:t xml:space="preserve">lla </w:t>
      </w:r>
      <w:r w:rsidRPr="0075609F">
        <w:t xml:space="preserve">loro efficienza. </w:t>
      </w:r>
    </w:p>
    <w:p w14:paraId="6A206150" w14:textId="7AC993BD" w:rsidR="0075609F" w:rsidRPr="008C35FB" w:rsidRDefault="003E7C6A" w:rsidP="0075609F">
      <w:r w:rsidRPr="008C35FB">
        <w:t>Nel caso di eventuale ri</w:t>
      </w:r>
      <w:r w:rsidR="00B931D4" w:rsidRPr="008C35FB">
        <w:t>determinazione</w:t>
      </w:r>
      <w:r w:rsidRPr="008C35FB">
        <w:t xml:space="preserve"> in aumento, </w:t>
      </w:r>
      <w:r w:rsidR="0034005B" w:rsidRPr="008C35FB">
        <w:t xml:space="preserve">a parità di obiettivi di miglioramento </w:t>
      </w:r>
      <w:r w:rsidR="00B72EDB" w:rsidRPr="008C35FB">
        <w:t xml:space="preserve">della qualità </w:t>
      </w:r>
      <w:r w:rsidR="00B931D4" w:rsidRPr="008C35FB">
        <w:t xml:space="preserve">ovvero di ampliamento del perimetro gestionale, </w:t>
      </w:r>
      <w:r w:rsidR="00AB1246" w:rsidRPr="008C35FB">
        <w:t xml:space="preserve">l’Ente territorialmente competente </w:t>
      </w:r>
      <w:r w:rsidR="00C436E4" w:rsidRPr="008C35FB">
        <w:t xml:space="preserve">argomenta in merito </w:t>
      </w:r>
      <w:r w:rsidR="00A125B6" w:rsidRPr="008C35FB">
        <w:t>alle dinamiche inflattive non intercettate in sede di prima predisposizione tariffaria.</w:t>
      </w:r>
    </w:p>
    <w:p w14:paraId="57BF2807" w14:textId="5DA610E2" w:rsidR="00781AD1" w:rsidRPr="0075609F" w:rsidRDefault="00781AD1" w:rsidP="0075609F">
      <w:pPr>
        <w:rPr>
          <w:lang w:eastAsia="en-GB"/>
        </w:rPr>
      </w:pPr>
      <w:r w:rsidRPr="008C35FB">
        <w:rPr>
          <w:lang w:eastAsia="en-GB"/>
        </w:rPr>
        <w:t xml:space="preserve">L’ETC indica, inoltre, l’avvenuta decurtazione dei costi sostenuti per il conseguimento dei </w:t>
      </w:r>
      <w:r w:rsidRPr="008C35FB">
        <w:rPr>
          <w:i/>
          <w:iCs/>
          <w:lang w:eastAsia="en-GB"/>
        </w:rPr>
        <w:t>target</w:t>
      </w:r>
      <w:r w:rsidRPr="008C35FB">
        <w:rPr>
          <w:lang w:eastAsia="en-GB"/>
        </w:rPr>
        <w:t xml:space="preserve"> cui è stata associata la valorizzazione di </w:t>
      </w:r>
      <m:oMath>
        <m:sSubSup>
          <m:sSubSupPr>
            <m:ctrlPr>
              <w:rPr>
                <w:rFonts w:ascii="Cambria Math" w:hAnsi="Cambria Math"/>
                <w:i/>
                <w:iCs/>
                <w:lang w:eastAsia="en-GB"/>
              </w:rPr>
            </m:ctrlPr>
          </m:sSubSupPr>
          <m:e>
            <m:r>
              <w:rPr>
                <w:rFonts w:ascii="Cambria Math" w:hAnsi="Cambria Math"/>
                <w:lang w:eastAsia="en-GB"/>
              </w:rPr>
              <m:t>COI</m:t>
            </m:r>
          </m:e>
          <m:sub>
            <m:r>
              <w:rPr>
                <w:rFonts w:ascii="Cambria Math" w:hAnsi="Cambria Math"/>
                <w:lang w:eastAsia="en-GB"/>
              </w:rPr>
              <m:t>TV,a</m:t>
            </m:r>
          </m:sub>
          <m:sup>
            <m:r>
              <w:rPr>
                <w:rFonts w:ascii="Cambria Math" w:hAnsi="Cambria Math"/>
                <w:lang w:eastAsia="en-GB"/>
              </w:rPr>
              <m:t>exp</m:t>
            </m:r>
          </m:sup>
        </m:sSubSup>
      </m:oMath>
      <w:r w:rsidRPr="008C35FB">
        <w:rPr>
          <w:lang w:eastAsia="en-GB"/>
        </w:rPr>
        <w:t xml:space="preserve"> e </w:t>
      </w:r>
      <m:oMath>
        <m:sSubSup>
          <m:sSubSupPr>
            <m:ctrlPr>
              <w:rPr>
                <w:rFonts w:ascii="Cambria Math" w:hAnsi="Cambria Math"/>
                <w:i/>
                <w:iCs/>
                <w:lang w:eastAsia="en-GB"/>
              </w:rPr>
            </m:ctrlPr>
          </m:sSubSupPr>
          <m:e>
            <m:r>
              <w:rPr>
                <w:rFonts w:ascii="Cambria Math" w:hAnsi="Cambria Math"/>
                <w:lang w:eastAsia="en-GB"/>
              </w:rPr>
              <m:t>COI</m:t>
            </m:r>
          </m:e>
          <m:sub>
            <m:r>
              <w:rPr>
                <w:rFonts w:ascii="Cambria Math" w:hAnsi="Cambria Math"/>
                <w:lang w:eastAsia="en-GB"/>
              </w:rPr>
              <m:t>TF,a</m:t>
            </m:r>
          </m:sub>
          <m:sup>
            <m:r>
              <w:rPr>
                <w:rFonts w:ascii="Cambria Math" w:hAnsi="Cambria Math"/>
                <w:lang w:eastAsia="en-GB"/>
              </w:rPr>
              <m:t>exp</m:t>
            </m:r>
          </m:sup>
        </m:sSubSup>
      </m:oMath>
      <w:r w:rsidRPr="008C35FB">
        <w:rPr>
          <w:iCs/>
          <w:lang w:eastAsia="en-GB"/>
        </w:rPr>
        <w:t xml:space="preserve"> </w:t>
      </w:r>
      <w:r w:rsidRPr="008C35FB">
        <w:rPr>
          <w:lang w:eastAsia="en-GB"/>
        </w:rPr>
        <w:t>con riferimento al calcolo tariffario del primo biennio 2022-2023.</w:t>
      </w:r>
    </w:p>
    <w:p w14:paraId="4B8D308F" w14:textId="0FCDD0A8" w:rsidR="0075609F" w:rsidRDefault="0075609F" w:rsidP="00DD0FC4"/>
    <w:p w14:paraId="22CA4E43" w14:textId="3C82F15A" w:rsidR="000C18D3" w:rsidRPr="00E31AE1" w:rsidRDefault="00E31AE1" w:rsidP="007027AC">
      <w:pPr>
        <w:pStyle w:val="Titolo2"/>
        <w:tabs>
          <w:tab w:val="clear" w:pos="5395"/>
        </w:tabs>
        <w:ind w:left="567"/>
      </w:pPr>
      <w:bookmarkStart w:id="149" w:name="_Toc149660958"/>
      <w:bookmarkStart w:id="150" w:name="_Toc86134971"/>
      <w:bookmarkStart w:id="151" w:name="_Toc86135060"/>
      <w:bookmarkStart w:id="152" w:name="_Toc86135654"/>
      <w:r>
        <w:t>A</w:t>
      </w:r>
      <w:r w:rsidR="00271538" w:rsidRPr="00310243">
        <w:t>mmortamenti</w:t>
      </w:r>
      <w:r w:rsidR="0066220C" w:rsidRPr="00310243">
        <w:t xml:space="preserve"> delle immobilizzazioni</w:t>
      </w:r>
      <w:bookmarkEnd w:id="149"/>
    </w:p>
    <w:p w14:paraId="4C887F84" w14:textId="283FA5C3" w:rsidR="0066220C" w:rsidRPr="00106438" w:rsidRDefault="0066220C" w:rsidP="0066220C">
      <w:pPr>
        <w:rPr>
          <w:lang w:eastAsia="en-GB"/>
        </w:rPr>
      </w:pPr>
      <w:r w:rsidRPr="00106438">
        <w:rPr>
          <w:lang w:eastAsia="en-GB"/>
        </w:rPr>
        <w:t xml:space="preserve">L’Ente territorialmente competente </w:t>
      </w:r>
      <w:r w:rsidR="002716DE" w:rsidRPr="00106438">
        <w:rPr>
          <w:lang w:eastAsia="en-GB"/>
        </w:rPr>
        <w:t xml:space="preserve">dà atto </w:t>
      </w:r>
      <w:r w:rsidR="00A44BD2" w:rsidRPr="00106438">
        <w:rPr>
          <w:lang w:eastAsia="en-GB"/>
        </w:rPr>
        <w:t xml:space="preserve">delle verifiche compiute in ordine alle </w:t>
      </w:r>
      <w:r w:rsidR="002716DE" w:rsidRPr="00106438">
        <w:rPr>
          <w:lang w:eastAsia="en-GB"/>
        </w:rPr>
        <w:t>vite utili</w:t>
      </w:r>
      <w:r w:rsidR="00AD1540" w:rsidRPr="00106438">
        <w:rPr>
          <w:lang w:eastAsia="en-GB"/>
        </w:rPr>
        <w:t xml:space="preserve"> dei cespiti valorizzate dal gestore del servizio </w:t>
      </w:r>
      <w:r w:rsidR="000030BE" w:rsidRPr="00106438">
        <w:rPr>
          <w:lang w:eastAsia="en-GB"/>
        </w:rPr>
        <w:t xml:space="preserve">integrato di gestione dei rifiuti urbani o dai gestori di uno o più dei servizi che </w:t>
      </w:r>
      <w:r w:rsidR="00E746FB" w:rsidRPr="00106438">
        <w:rPr>
          <w:lang w:eastAsia="en-GB"/>
        </w:rPr>
        <w:t>lo compongono, con particolare riferimento:</w:t>
      </w:r>
    </w:p>
    <w:p w14:paraId="23187427" w14:textId="4AED379C" w:rsidR="009E1F35" w:rsidRPr="00106438" w:rsidRDefault="006112F6" w:rsidP="00106438">
      <w:pPr>
        <w:pStyle w:val="Paragrafoelenco"/>
        <w:numPr>
          <w:ilvl w:val="0"/>
          <w:numId w:val="46"/>
        </w:numPr>
        <w:rPr>
          <w:sz w:val="24"/>
          <w:szCs w:val="24"/>
          <w:lang w:eastAsia="en-GB"/>
        </w:rPr>
      </w:pPr>
      <w:r w:rsidRPr="00106438">
        <w:rPr>
          <w:sz w:val="24"/>
          <w:szCs w:val="24"/>
          <w:lang w:eastAsia="en-GB"/>
        </w:rPr>
        <w:t>al</w:t>
      </w:r>
      <w:r w:rsidR="009E1F35" w:rsidRPr="00106438">
        <w:rPr>
          <w:sz w:val="24"/>
          <w:szCs w:val="24"/>
          <w:lang w:eastAsia="en-GB"/>
        </w:rPr>
        <w:t xml:space="preserve"> rispetto delle tabelle previste nell’articolo 15.2 e 15.3 del MTR-2</w:t>
      </w:r>
      <w:r w:rsidR="009A2C3F">
        <w:rPr>
          <w:sz w:val="24"/>
          <w:szCs w:val="24"/>
          <w:lang w:eastAsia="en-GB"/>
        </w:rPr>
        <w:t xml:space="preserve"> aggiornato</w:t>
      </w:r>
      <w:r w:rsidR="00067D93" w:rsidRPr="00106438">
        <w:rPr>
          <w:sz w:val="24"/>
          <w:szCs w:val="24"/>
          <w:lang w:eastAsia="en-GB"/>
        </w:rPr>
        <w:t xml:space="preserve"> per i cespiti ad esse direttamente riconducibili</w:t>
      </w:r>
      <w:r w:rsidR="009E1F35" w:rsidRPr="00106438">
        <w:rPr>
          <w:sz w:val="24"/>
          <w:szCs w:val="24"/>
          <w:lang w:eastAsia="en-GB"/>
        </w:rPr>
        <w:t>;</w:t>
      </w:r>
    </w:p>
    <w:p w14:paraId="078C0B1C" w14:textId="0C5E453C" w:rsidR="00067D93" w:rsidRPr="00106438" w:rsidRDefault="008E742E" w:rsidP="009A2C3F">
      <w:pPr>
        <w:pStyle w:val="Paragrafoelenco"/>
        <w:numPr>
          <w:ilvl w:val="0"/>
          <w:numId w:val="46"/>
        </w:numPr>
        <w:jc w:val="both"/>
        <w:rPr>
          <w:sz w:val="24"/>
          <w:szCs w:val="24"/>
          <w:lang w:eastAsia="en-GB"/>
        </w:rPr>
      </w:pPr>
      <w:r w:rsidRPr="00106438">
        <w:rPr>
          <w:sz w:val="24"/>
          <w:szCs w:val="24"/>
          <w:lang w:eastAsia="en-GB"/>
        </w:rPr>
        <w:t>al rispetto del criterio indicato dall’articolo 15.4 del MTR-2</w:t>
      </w:r>
      <w:r w:rsidR="003B287B">
        <w:rPr>
          <w:sz w:val="24"/>
          <w:szCs w:val="24"/>
          <w:lang w:eastAsia="en-GB"/>
        </w:rPr>
        <w:t xml:space="preserve"> aggiornato</w:t>
      </w:r>
      <w:r w:rsidR="00067D93" w:rsidRPr="00106438">
        <w:rPr>
          <w:sz w:val="24"/>
          <w:szCs w:val="24"/>
          <w:lang w:eastAsia="en-GB"/>
        </w:rPr>
        <w:t xml:space="preserve"> per i cespiti ad esse direttamente riconducibili</w:t>
      </w:r>
      <w:r w:rsidR="00C81344" w:rsidRPr="00106438">
        <w:rPr>
          <w:sz w:val="24"/>
          <w:szCs w:val="24"/>
          <w:lang w:eastAsia="en-GB"/>
        </w:rPr>
        <w:t>.</w:t>
      </w:r>
    </w:p>
    <w:p w14:paraId="3F7F332F" w14:textId="77777777" w:rsidR="00235121" w:rsidRPr="00106438" w:rsidRDefault="00FE668F" w:rsidP="0066220C">
      <w:pPr>
        <w:rPr>
          <w:lang w:eastAsia="en-GB"/>
        </w:rPr>
      </w:pPr>
      <w:r w:rsidRPr="00106438">
        <w:rPr>
          <w:lang w:eastAsia="en-GB"/>
        </w:rPr>
        <w:t>In caso di adozione di una</w:t>
      </w:r>
      <w:r w:rsidR="000C6469" w:rsidRPr="00106438">
        <w:rPr>
          <w:lang w:eastAsia="en-GB"/>
        </w:rPr>
        <w:t xml:space="preserve"> vita utile inferiore a quella regolatoria</w:t>
      </w:r>
      <w:r w:rsidR="00D74B7D" w:rsidRPr="00106438">
        <w:rPr>
          <w:lang w:eastAsia="en-GB"/>
        </w:rPr>
        <w:t>, l’Ente territorialmente competente illustra le valutazioni effettuate</w:t>
      </w:r>
      <w:r w:rsidR="00C4440D" w:rsidRPr="00106438">
        <w:rPr>
          <w:lang w:eastAsia="en-GB"/>
        </w:rPr>
        <w:t xml:space="preserve"> indicando il vincolo autorizzativo</w:t>
      </w:r>
      <w:r w:rsidR="007906D2" w:rsidRPr="00106438">
        <w:rPr>
          <w:lang w:eastAsia="en-GB"/>
        </w:rPr>
        <w:t xml:space="preserve">, normativo o di pianificazione che determina la chiusura anticipata </w:t>
      </w:r>
      <w:r w:rsidR="00235121" w:rsidRPr="00106438">
        <w:rPr>
          <w:lang w:eastAsia="en-GB"/>
        </w:rPr>
        <w:t>del/degli impianto/i interessato/i.</w:t>
      </w:r>
    </w:p>
    <w:p w14:paraId="1CBB3B73" w14:textId="756A12A5" w:rsidR="00C81344" w:rsidRDefault="00235121" w:rsidP="00106438">
      <w:pPr>
        <w:rPr>
          <w:lang w:eastAsia="en-GB"/>
        </w:rPr>
      </w:pPr>
      <w:r w:rsidRPr="00106438">
        <w:rPr>
          <w:lang w:eastAsia="en-GB"/>
        </w:rPr>
        <w:t>In caso di adozione di una vita utile superiore a quella regolatoria,</w:t>
      </w:r>
      <w:r w:rsidR="000C6469" w:rsidRPr="00106438">
        <w:rPr>
          <w:lang w:eastAsia="en-GB"/>
        </w:rPr>
        <w:t xml:space="preserve"> </w:t>
      </w:r>
      <w:r w:rsidR="003E6665" w:rsidRPr="00106438">
        <w:rPr>
          <w:lang w:eastAsia="en-GB"/>
        </w:rPr>
        <w:t>l</w:t>
      </w:r>
      <w:r w:rsidRPr="00106438">
        <w:rPr>
          <w:lang w:eastAsia="en-GB"/>
        </w:rPr>
        <w:t>’Ente territorialmente competente</w:t>
      </w:r>
      <w:r w:rsidR="00701A9F" w:rsidRPr="00106438">
        <w:rPr>
          <w:lang w:eastAsia="en-GB"/>
        </w:rPr>
        <w:t xml:space="preserve"> illustra la procedura partecipata attivata col gestore interessato</w:t>
      </w:r>
      <w:r w:rsidR="00626DFF" w:rsidRPr="00106438">
        <w:rPr>
          <w:lang w:eastAsia="en-GB"/>
        </w:rPr>
        <w:t xml:space="preserve"> e le ragioni di sostenibilità sociale delle tariffe applicate a</w:t>
      </w:r>
      <w:r w:rsidR="003E6B39" w:rsidRPr="00106438">
        <w:rPr>
          <w:lang w:eastAsia="en-GB"/>
        </w:rPr>
        <w:t>gli utenti</w:t>
      </w:r>
      <w:r w:rsidR="001E0CDF" w:rsidRPr="00106438">
        <w:rPr>
          <w:lang w:eastAsia="en-GB"/>
        </w:rPr>
        <w:t xml:space="preserve"> che la giustificano.</w:t>
      </w:r>
    </w:p>
    <w:p w14:paraId="4D1598D4" w14:textId="77777777" w:rsidR="00331C18" w:rsidRPr="00954414" w:rsidRDefault="00331C18" w:rsidP="00106438"/>
    <w:p w14:paraId="2450659F" w14:textId="7F8B6C65" w:rsidR="00ED393C" w:rsidRPr="00ED393C" w:rsidRDefault="007B495D" w:rsidP="003F6842">
      <w:pPr>
        <w:pStyle w:val="Titolo2"/>
        <w:tabs>
          <w:tab w:val="clear" w:pos="5395"/>
        </w:tabs>
        <w:ind w:left="567"/>
      </w:pPr>
      <w:bookmarkStart w:id="153" w:name="_Toc149660959"/>
      <w:r>
        <w:t>V</w:t>
      </w:r>
      <w:r w:rsidR="00ED393C" w:rsidRPr="00ED393C">
        <w:t xml:space="preserve">alorizzazione dei fattori di </w:t>
      </w:r>
      <w:r w:rsidR="00ED393C" w:rsidRPr="00BC1E8A">
        <w:rPr>
          <w:i/>
          <w:iCs w:val="0"/>
        </w:rPr>
        <w:t>sharing</w:t>
      </w:r>
      <w:bookmarkEnd w:id="150"/>
      <w:bookmarkEnd w:id="151"/>
      <w:bookmarkEnd w:id="152"/>
      <w:bookmarkEnd w:id="153"/>
      <w:r w:rsidR="00ED393C" w:rsidRPr="00ED393C">
        <w:t xml:space="preserve"> </w:t>
      </w:r>
    </w:p>
    <w:p w14:paraId="3B575144" w14:textId="77777777" w:rsidR="00ED393C" w:rsidRPr="00ED393C" w:rsidRDefault="00ED393C" w:rsidP="00ED393C">
      <w:r w:rsidRPr="00ED393C">
        <w:t xml:space="preserve">L’Ente territorialmente competente descrive le modalità di individuazione dei fattori di </w:t>
      </w:r>
      <w:r w:rsidRPr="00BC1E8A">
        <w:rPr>
          <w:i/>
          <w:iCs/>
        </w:rPr>
        <w:t>sharing</w:t>
      </w:r>
      <w:r w:rsidRPr="00ED393C">
        <w:t xml:space="preserve"> dei proventi in modo da favorire gli incentivi alla crescita dei ricavi dalla vendita di materiali e/o energia </w:t>
      </w:r>
      <w:r w:rsidRPr="00ED393C">
        <w:lastRenderedPageBreak/>
        <w:t xml:space="preserve">e dei corrispettivi riconosciuti dai sistemi collettivi di </w:t>
      </w:r>
      <w:r w:rsidRPr="00BC1E8A">
        <w:rPr>
          <w:i/>
          <w:iCs/>
        </w:rPr>
        <w:t>compliance</w:t>
      </w:r>
      <w:r w:rsidRPr="00ED393C">
        <w:t xml:space="preserve"> agli obblighi di responsabilità estesa del produttore.</w:t>
      </w:r>
    </w:p>
    <w:p w14:paraId="1FD562A4" w14:textId="77777777" w:rsidR="00ED393C" w:rsidRPr="00BC1E8A" w:rsidRDefault="00ED393C" w:rsidP="00ED393C">
      <w:pPr>
        <w:rPr>
          <w:rFonts w:cs="Arial"/>
          <w:b/>
          <w:bCs/>
          <w:i/>
          <w:lang w:eastAsia="en-GB"/>
        </w:rPr>
      </w:pPr>
    </w:p>
    <w:p w14:paraId="5835E540" w14:textId="38772FE5" w:rsidR="00ED393C" w:rsidRPr="00C67211" w:rsidRDefault="00ED393C" w:rsidP="00BC1E8A">
      <w:pPr>
        <w:pStyle w:val="Titolo3"/>
        <w:tabs>
          <w:tab w:val="clear" w:pos="4831"/>
          <w:tab w:val="num" w:pos="720"/>
        </w:tabs>
        <w:ind w:left="720"/>
      </w:pPr>
      <w:bookmarkStart w:id="154" w:name="_Toc86134972"/>
      <w:bookmarkStart w:id="155" w:name="_Toc86135061"/>
      <w:bookmarkStart w:id="156" w:name="_Toc86135655"/>
      <w:bookmarkStart w:id="157" w:name="_Toc149660960"/>
      <w:r w:rsidRPr="00C67211">
        <w:t>Determinazione del fattore b</w:t>
      </w:r>
      <w:bookmarkEnd w:id="154"/>
      <w:bookmarkEnd w:id="155"/>
      <w:bookmarkEnd w:id="156"/>
      <w:bookmarkEnd w:id="157"/>
    </w:p>
    <w:p w14:paraId="26A8A084" w14:textId="77777777" w:rsidR="00ED393C" w:rsidRPr="00ED393C" w:rsidRDefault="00ED393C" w:rsidP="00ED393C">
      <w:r w:rsidRPr="00ED393C">
        <w:t xml:space="preserve">L’Ente territorialmente competente relaziona in ordine alle valutazioni sottese alla valorizzazione del fattore di </w:t>
      </w:r>
      <w:r w:rsidRPr="00BC1E8A">
        <w:rPr>
          <w:i/>
          <w:iCs/>
        </w:rPr>
        <w:t>sharing</w:t>
      </w:r>
      <w:r w:rsidRPr="00ED393C">
        <w:t xml:space="preserve"> sui proventi della vendita di materiale ed energia derivante da rifiuti (</w:t>
      </w:r>
      <w:r w:rsidRPr="003B100B">
        <w:rPr>
          <w:i/>
          <w:iCs/>
        </w:rPr>
        <w:t>AR</w:t>
      </w:r>
      <w:r w:rsidRPr="00ED393C">
        <w:t>) con specifico riferimento al potenziale contributo dell’output recuperato (recupero di materia e/o di energia) al raggiungimento dei target europei.</w:t>
      </w:r>
    </w:p>
    <w:p w14:paraId="2E22C0BF" w14:textId="77777777" w:rsidR="00ED393C" w:rsidRPr="00ED393C" w:rsidRDefault="00ED393C" w:rsidP="00ED393C"/>
    <w:p w14:paraId="06491C3B" w14:textId="5FFCCAE3" w:rsidR="00ED393C" w:rsidRPr="00C67211" w:rsidRDefault="00ED393C" w:rsidP="00BC1E8A">
      <w:pPr>
        <w:pStyle w:val="Titolo3"/>
        <w:tabs>
          <w:tab w:val="clear" w:pos="4831"/>
          <w:tab w:val="num" w:pos="720"/>
        </w:tabs>
        <w:ind w:left="720"/>
      </w:pPr>
      <w:bookmarkStart w:id="158" w:name="_Toc86134973"/>
      <w:bookmarkStart w:id="159" w:name="_Toc86135062"/>
      <w:bookmarkStart w:id="160" w:name="_Toc86135656"/>
      <w:bookmarkStart w:id="161" w:name="_Toc149660961"/>
      <w:r w:rsidRPr="00C67211">
        <w:t>Determinazione del fattore ω</w:t>
      </w:r>
      <w:bookmarkEnd w:id="158"/>
      <w:bookmarkEnd w:id="159"/>
      <w:bookmarkEnd w:id="160"/>
      <w:bookmarkEnd w:id="161"/>
    </w:p>
    <w:p w14:paraId="3DCCC9CB" w14:textId="7F840E7F" w:rsidR="00ED393C" w:rsidRPr="00ED393C" w:rsidRDefault="00ED393C" w:rsidP="00ED393C">
      <w:r w:rsidRPr="00ED393C">
        <w:t xml:space="preserve">L’Ente territorialmente competente indica, sulla base della valorizzazione di </w:t>
      </w:r>
      <w:r w:rsidRPr="00243F7A">
        <w:rPr>
          <w:rFonts w:ascii="Cambria Math" w:hAnsi="Cambria Math" w:cs="Cambria Math"/>
          <w:i/>
        </w:rPr>
        <w:t>𝛾</w:t>
      </w:r>
      <w:r w:rsidRPr="00243F7A">
        <w:rPr>
          <w:i/>
          <w:vertAlign w:val="subscript"/>
        </w:rPr>
        <w:t>1</w:t>
      </w:r>
      <w:r w:rsidRPr="00ED393C">
        <w:t xml:space="preserve"> e </w:t>
      </w:r>
      <w:r w:rsidRPr="00243F7A">
        <w:rPr>
          <w:rFonts w:ascii="Cambria Math" w:hAnsi="Cambria Math" w:cs="Cambria Math"/>
          <w:i/>
        </w:rPr>
        <w:t>𝛾</w:t>
      </w:r>
      <w:r w:rsidRPr="00243F7A">
        <w:rPr>
          <w:i/>
          <w:vertAlign w:val="subscript"/>
        </w:rPr>
        <w:t>2</w:t>
      </w:r>
      <w:r w:rsidRPr="00ED393C">
        <w:t xml:space="preserve">, il valore di </w:t>
      </w:r>
      <w:r w:rsidRPr="00B4628E">
        <w:rPr>
          <w:i/>
          <w:iCs/>
        </w:rPr>
        <w:t>ω</w:t>
      </w:r>
      <w:r w:rsidRPr="00ED393C">
        <w:t xml:space="preserve"> nel rispetto della matrice prevista nell’articolo 3.2 del MTR-2</w:t>
      </w:r>
      <w:r w:rsidR="007D3803">
        <w:t xml:space="preserve"> aggiornato</w:t>
      </w:r>
      <w:r w:rsidRPr="00ED393C">
        <w:t>.</w:t>
      </w:r>
    </w:p>
    <w:p w14:paraId="35A0B9DF" w14:textId="77777777" w:rsidR="00C67211" w:rsidRDefault="00C67211" w:rsidP="00CE6605"/>
    <w:p w14:paraId="68F60408" w14:textId="2ECBAF39" w:rsidR="00C67211" w:rsidRPr="00243F7A" w:rsidRDefault="00394629" w:rsidP="00396F35">
      <w:pPr>
        <w:pStyle w:val="Titolo2"/>
        <w:tabs>
          <w:tab w:val="clear" w:pos="5395"/>
        </w:tabs>
        <w:ind w:left="567"/>
      </w:pPr>
      <w:bookmarkStart w:id="162" w:name="_Toc86134974"/>
      <w:bookmarkStart w:id="163" w:name="_Toc86135063"/>
      <w:bookmarkStart w:id="164" w:name="_Toc86135657"/>
      <w:bookmarkStart w:id="165" w:name="_Toc149660962"/>
      <w:r>
        <w:t>C</w:t>
      </w:r>
      <w:r w:rsidR="00C67211" w:rsidRPr="00BC1E8A">
        <w:t>onguagli</w:t>
      </w:r>
      <w:bookmarkEnd w:id="162"/>
      <w:bookmarkEnd w:id="163"/>
      <w:bookmarkEnd w:id="164"/>
      <w:bookmarkEnd w:id="165"/>
    </w:p>
    <w:p w14:paraId="4847A821" w14:textId="77777777" w:rsidR="00517189" w:rsidRDefault="00C00513" w:rsidP="00C67211">
      <w:r>
        <w:rPr>
          <w:lang w:eastAsia="en-GB"/>
        </w:rPr>
        <w:t>Per entrambe le annualità del biennio 2024-2025</w:t>
      </w:r>
      <w:r w:rsidR="00C67211" w:rsidRPr="00BC1E8A">
        <w:t xml:space="preserve">, l’Ente territorialmente competente indica il valore complessivo delle componenti a conguaglio </w:t>
      </w:r>
      <m:oMath>
        <m:sSub>
          <m:sSubPr>
            <m:ctrlPr>
              <w:rPr>
                <w:rFonts w:ascii="Cambria Math" w:hAnsi="Cambria Math"/>
                <w:i/>
              </w:rPr>
            </m:ctrlPr>
          </m:sSubPr>
          <m:e>
            <m:r>
              <w:rPr>
                <w:rFonts w:ascii="Cambria Math" w:hAnsi="Cambria Math"/>
              </w:rPr>
              <m:t>RCtot</m:t>
            </m:r>
          </m:e>
          <m:sub>
            <m:r>
              <w:rPr>
                <w:rFonts w:ascii="Cambria Math" w:hAnsi="Cambria Math"/>
              </w:rPr>
              <m:t>TV,a</m:t>
            </m:r>
          </m:sub>
        </m:sSub>
        <m:r>
          <w:rPr>
            <w:rFonts w:ascii="Cambria Math" w:hAnsi="Cambria Math"/>
          </w:rPr>
          <m:t xml:space="preserve"> </m:t>
        </m:r>
      </m:oMath>
      <w:r w:rsidR="00C67211" w:rsidRPr="00BC1E8A">
        <w:t xml:space="preserve">e </w:t>
      </w:r>
      <m:oMath>
        <m:sSub>
          <m:sSubPr>
            <m:ctrlPr>
              <w:rPr>
                <w:rFonts w:ascii="Cambria Math" w:hAnsi="Cambria Math"/>
                <w:i/>
              </w:rPr>
            </m:ctrlPr>
          </m:sSubPr>
          <m:e>
            <m:r>
              <w:rPr>
                <w:rFonts w:ascii="Cambria Math" w:hAnsi="Cambria Math"/>
              </w:rPr>
              <m:t>RCtot</m:t>
            </m:r>
          </m:e>
          <m:sub>
            <m:r>
              <w:rPr>
                <w:rFonts w:ascii="Cambria Math" w:hAnsi="Cambria Math"/>
              </w:rPr>
              <m:t>TF,a</m:t>
            </m:r>
          </m:sub>
        </m:sSub>
      </m:oMath>
      <w:r w:rsidR="00C67211" w:rsidRPr="00BC1E8A">
        <w:t xml:space="preserve"> riferite alle annualità pregresse e fornisce il dettaglio delle singole </w:t>
      </w:r>
      <w:r w:rsidR="00517189">
        <w:t>voci</w:t>
      </w:r>
      <w:r w:rsidR="00C67211" w:rsidRPr="00BC1E8A">
        <w:t xml:space="preserve"> valorizzate </w:t>
      </w:r>
      <w:r w:rsidR="009C1171">
        <w:t>per</w:t>
      </w:r>
      <w:r w:rsidR="009C1171" w:rsidRPr="00BC1E8A">
        <w:t xml:space="preserve"> </w:t>
      </w:r>
      <w:r w:rsidR="00C67211" w:rsidRPr="00BC1E8A">
        <w:t xml:space="preserve">ciascuna </w:t>
      </w:r>
      <w:r w:rsidR="00384A89">
        <w:t>annualità</w:t>
      </w:r>
      <w:r w:rsidR="00C67211" w:rsidRPr="00BC1E8A">
        <w:t xml:space="preserve"> sia </w:t>
      </w:r>
      <w:r w:rsidR="00384A89">
        <w:t>con riferimento</w:t>
      </w:r>
      <w:r w:rsidR="00C67211" w:rsidRPr="00BC1E8A">
        <w:t xml:space="preserve"> ai costi variabili (art. 18 del MTR-2</w:t>
      </w:r>
      <w:r w:rsidR="003A4B97">
        <w:t xml:space="preserve"> aggiornato</w:t>
      </w:r>
      <w:r w:rsidR="00C67211" w:rsidRPr="00BC1E8A">
        <w:t xml:space="preserve">) sia </w:t>
      </w:r>
      <w:r w:rsidR="00384A89">
        <w:t>con riferimento</w:t>
      </w:r>
      <w:r w:rsidR="00C67211" w:rsidRPr="00BC1E8A">
        <w:t xml:space="preserve"> ai costi fissi (art. 19 del MTR-2</w:t>
      </w:r>
      <w:r w:rsidR="003A4B97">
        <w:t xml:space="preserve"> aggiornato</w:t>
      </w:r>
      <w:r w:rsidR="00C67211" w:rsidRPr="00BC1E8A">
        <w:t>).</w:t>
      </w:r>
      <w:r w:rsidR="00384A89">
        <w:t xml:space="preserve"> </w:t>
      </w:r>
    </w:p>
    <w:p w14:paraId="036C94E6" w14:textId="77777777" w:rsidR="00517189" w:rsidRPr="00BC1E8A" w:rsidRDefault="00517189" w:rsidP="00517189">
      <w:r>
        <w:t>Inoltre, per quanto concerne le voci di conguaglio inerenti alla valorizzazione, nelle annualità pregresse (</w:t>
      </w:r>
      <w:r w:rsidRPr="00253A3A">
        <w:rPr>
          <w:i/>
          <w:iCs/>
        </w:rPr>
        <w:t>a-2</w:t>
      </w:r>
      <w:r>
        <w:t xml:space="preserve">), di costi operativi incentivanti, l’Ente territorialmente competente indica la distanza dall’obiettivo, sulla base di cui è determinata l’entità del recupero a favore dell’utenza.  </w:t>
      </w:r>
    </w:p>
    <w:p w14:paraId="55DC7E80" w14:textId="68B16F43" w:rsidR="005C735C" w:rsidRDefault="00517189" w:rsidP="00C67211">
      <w:r>
        <w:rPr>
          <w:rStyle w:val="ui-provider"/>
        </w:rPr>
        <w:t xml:space="preserve">Infine, l'Ente territorialmente competente esplicita i calcoli sottesi all’eventuale valorizzazione delle voci di </w:t>
      </w:r>
      <w:r w:rsidR="00C268E6">
        <w:rPr>
          <w:rStyle w:val="ui-provider"/>
        </w:rPr>
        <w:t xml:space="preserve">recupero del </w:t>
      </w:r>
      <w:r>
        <w:rPr>
          <w:rStyle w:val="ui-provider"/>
        </w:rPr>
        <w:t>conguaglio</w:t>
      </w:r>
      <w:r w:rsidR="00C268E6">
        <w:rPr>
          <w:rStyle w:val="ui-provider"/>
        </w:rPr>
        <w:t xml:space="preserve"> </w:t>
      </w:r>
      <w:r w:rsidR="001920B2">
        <w:rPr>
          <w:rStyle w:val="ui-provider"/>
        </w:rPr>
        <w:t>I</w:t>
      </w:r>
      <w:r w:rsidR="001920B2" w:rsidRPr="001920B2">
        <w:rPr>
          <w:rStyle w:val="ui-provider"/>
          <w:vertAlign w:val="superscript"/>
        </w:rPr>
        <w:t>2023</w:t>
      </w:r>
      <w:r w:rsidR="00AE52D2">
        <w:rPr>
          <w:rStyle w:val="ui-provider"/>
        </w:rPr>
        <w:t xml:space="preserve"> (parte variabile e parte fissa)</w:t>
      </w:r>
      <w:r>
        <w:rPr>
          <w:rStyle w:val="ui-provider"/>
        </w:rPr>
        <w:t>.</w:t>
      </w:r>
    </w:p>
    <w:p w14:paraId="080DED7C" w14:textId="47926C23" w:rsidR="00C67211" w:rsidRDefault="00C67211" w:rsidP="00C67211"/>
    <w:p w14:paraId="44861EBA" w14:textId="2DAA80F1" w:rsidR="00C67211" w:rsidRPr="00C67211" w:rsidDel="0049499C" w:rsidRDefault="00C67211" w:rsidP="00396F35">
      <w:pPr>
        <w:pStyle w:val="Titolo2"/>
        <w:tabs>
          <w:tab w:val="clear" w:pos="5395"/>
        </w:tabs>
        <w:ind w:left="567"/>
      </w:pPr>
      <w:bookmarkStart w:id="166" w:name="_Toc86134976"/>
      <w:bookmarkStart w:id="167" w:name="_Toc86135065"/>
      <w:bookmarkStart w:id="168" w:name="_Toc86135659"/>
      <w:bookmarkStart w:id="169" w:name="_Toc149660963"/>
      <w:r w:rsidRPr="00C67211" w:rsidDel="0049499C">
        <w:t>Valutazioni in ordine all’equilibrio economico finanziario</w:t>
      </w:r>
      <w:bookmarkEnd w:id="166"/>
      <w:bookmarkEnd w:id="167"/>
      <w:bookmarkEnd w:id="168"/>
      <w:bookmarkEnd w:id="169"/>
      <w:r w:rsidRPr="00C67211" w:rsidDel="0049499C">
        <w:t xml:space="preserve"> </w:t>
      </w:r>
    </w:p>
    <w:p w14:paraId="574B6483" w14:textId="73AA0C85" w:rsidR="00C67211" w:rsidRPr="00C67211" w:rsidDel="0049499C" w:rsidRDefault="00C67211" w:rsidP="00C67211">
      <w:r w:rsidRPr="00C67211" w:rsidDel="0049499C">
        <w:t>L’Ente territorialmente competente dà atto delle verifiche compiute in ordine alla sussistenza dell’equilibrio economico finanziario della gestione rispetto al totale delle entrate tariffarie riconoscibili risultanti dall’A</w:t>
      </w:r>
      <w:r w:rsidR="006B162D" w:rsidDel="0049499C">
        <w:t>llegato</w:t>
      </w:r>
      <w:r w:rsidRPr="00C67211" w:rsidDel="0049499C">
        <w:t xml:space="preserve"> 1</w:t>
      </w:r>
      <w:r w:rsidR="000A444D">
        <w:t xml:space="preserve"> </w:t>
      </w:r>
      <w:r w:rsidR="000A444D" w:rsidRPr="00A12BDC">
        <w:rPr>
          <w:i/>
          <w:iCs/>
        </w:rPr>
        <w:t>Tool</w:t>
      </w:r>
      <w:r w:rsidR="000A444D">
        <w:t xml:space="preserve"> di calcolo</w:t>
      </w:r>
      <w:r w:rsidRPr="00C67211" w:rsidDel="0049499C">
        <w:t xml:space="preserve">. </w:t>
      </w:r>
    </w:p>
    <w:p w14:paraId="68806947" w14:textId="1548370D" w:rsidR="002D332F" w:rsidRDefault="002D332F" w:rsidP="002D332F"/>
    <w:p w14:paraId="752B5B10" w14:textId="77777777" w:rsidR="00C67211" w:rsidRPr="00C67211" w:rsidRDefault="00C67211" w:rsidP="00396F35">
      <w:pPr>
        <w:pStyle w:val="Titolo2"/>
        <w:tabs>
          <w:tab w:val="clear" w:pos="5395"/>
        </w:tabs>
        <w:ind w:left="567"/>
      </w:pPr>
      <w:bookmarkStart w:id="170" w:name="_Toc86134978"/>
      <w:bookmarkStart w:id="171" w:name="_Toc86135067"/>
      <w:bookmarkStart w:id="172" w:name="_Toc86135661"/>
      <w:bookmarkStart w:id="173" w:name="_Toc149660964"/>
      <w:r w:rsidRPr="00C67211">
        <w:t>Rinuncia al riconoscimento di alcune componenti di costo</w:t>
      </w:r>
      <w:bookmarkEnd w:id="170"/>
      <w:bookmarkEnd w:id="171"/>
      <w:bookmarkEnd w:id="172"/>
      <w:bookmarkEnd w:id="173"/>
    </w:p>
    <w:p w14:paraId="1B515C4B" w14:textId="1C9348C8" w:rsidR="00C67211" w:rsidRDefault="00C67211" w:rsidP="00C67211">
      <w:r w:rsidRPr="00C67211">
        <w:t>Nel caso in cui ci si avvalga della facoltà prevista dall’articolo 4.6 della deliberazione 3 agosto 2021 363/2021/R/</w:t>
      </w:r>
      <w:r w:rsidR="00A63069" w:rsidRPr="00A63069">
        <w:rPr>
          <w:sz w:val="20"/>
          <w:szCs w:val="20"/>
        </w:rPr>
        <w:t>RIF</w:t>
      </w:r>
      <w:r w:rsidRPr="00C67211">
        <w:t xml:space="preserve"> di applicare valori inferiori alle entrate tariffarie determinate ai sensi del MTR-2</w:t>
      </w:r>
      <w:r w:rsidR="00B427F3">
        <w:t xml:space="preserve"> aggiornato</w:t>
      </w:r>
      <w:r w:rsidRPr="00C67211">
        <w:t>, l’Ente territorialmente competente indica le componenti di costo ammissibili che si rit</w:t>
      </w:r>
      <w:r w:rsidR="002F7F7C">
        <w:t>i</w:t>
      </w:r>
      <w:r w:rsidRPr="00C67211">
        <w:t>en</w:t>
      </w:r>
      <w:r w:rsidR="002F7F7C">
        <w:t xml:space="preserve">e di non </w:t>
      </w:r>
      <w:r w:rsidRPr="00C67211">
        <w:t>coprire integralmente ed esprime le proprie valutazioni in ordine alla coerenza della rinuncia al loro riconoscimento rispetto agli obiettivi definiti</w:t>
      </w:r>
      <w:r w:rsidR="002F7F7C">
        <w:t xml:space="preserve"> e al mantenimento dell’equilibrio economico finanziario della gestione</w:t>
      </w:r>
      <w:r w:rsidR="0049499C">
        <w:t xml:space="preserve">, </w:t>
      </w:r>
      <w:r w:rsidR="00882022">
        <w:t xml:space="preserve">motivando le scelte adottate </w:t>
      </w:r>
      <w:r w:rsidR="002F7F7C">
        <w:t xml:space="preserve">e </w:t>
      </w:r>
      <w:r w:rsidR="00B6520A">
        <w:t xml:space="preserve">illustrando </w:t>
      </w:r>
      <w:r w:rsidR="0049499C">
        <w:t xml:space="preserve">gli esiti delle valutazioni </w:t>
      </w:r>
      <w:r w:rsidR="00B6520A">
        <w:t>compiute</w:t>
      </w:r>
      <w:r w:rsidRPr="00C67211">
        <w:t>.</w:t>
      </w:r>
    </w:p>
    <w:p w14:paraId="61770546" w14:textId="77777777" w:rsidR="0049499C" w:rsidRDefault="0049499C" w:rsidP="00C67211"/>
    <w:p w14:paraId="1F09AC0B" w14:textId="77777777" w:rsidR="00C67211" w:rsidRPr="00C67211" w:rsidRDefault="00C67211" w:rsidP="00396F35">
      <w:pPr>
        <w:pStyle w:val="Titolo2"/>
        <w:tabs>
          <w:tab w:val="clear" w:pos="5395"/>
        </w:tabs>
        <w:ind w:left="567"/>
      </w:pPr>
      <w:bookmarkStart w:id="174" w:name="_Toc86134979"/>
      <w:bookmarkStart w:id="175" w:name="_Toc86135068"/>
      <w:bookmarkStart w:id="176" w:name="_Toc86135662"/>
      <w:bookmarkStart w:id="177" w:name="_Toc149660965"/>
      <w:r w:rsidRPr="00C67211">
        <w:t>Rimodulazione dei conguagli</w:t>
      </w:r>
      <w:bookmarkEnd w:id="174"/>
      <w:bookmarkEnd w:id="175"/>
      <w:bookmarkEnd w:id="176"/>
      <w:bookmarkEnd w:id="177"/>
      <w:r w:rsidRPr="00C67211">
        <w:t xml:space="preserve"> </w:t>
      </w:r>
    </w:p>
    <w:p w14:paraId="5119D3F9" w14:textId="3ADC661F" w:rsidR="00C67211" w:rsidRPr="00C67211" w:rsidRDefault="00C67211" w:rsidP="00C67211">
      <w:r w:rsidRPr="00C67211">
        <w:t xml:space="preserve">Nel caso in cui ci </w:t>
      </w:r>
      <w:r w:rsidR="00541F0F">
        <w:t>s</w:t>
      </w:r>
      <w:r w:rsidRPr="00C67211">
        <w:t>i avvalga della facoltà prevista dall’articolo 17.2 del MTR-2</w:t>
      </w:r>
      <w:r w:rsidR="0068614F">
        <w:t xml:space="preserve"> aggiornato</w:t>
      </w:r>
      <w:r w:rsidRPr="00C67211">
        <w:t xml:space="preserve"> di rimodulare</w:t>
      </w:r>
      <w:r w:rsidR="005E0905">
        <w:t xml:space="preserve"> i conguagli</w:t>
      </w:r>
      <w:r w:rsidR="00FA399B">
        <w:t xml:space="preserve"> all’interno del biennio 2024-2025</w:t>
      </w:r>
      <w:r w:rsidR="002D7980">
        <w:t xml:space="preserve"> e/o rinviar</w:t>
      </w:r>
      <w:r w:rsidR="005E0905">
        <w:t>n</w:t>
      </w:r>
      <w:r w:rsidR="005162A6">
        <w:t>e il recupero</w:t>
      </w:r>
      <w:r w:rsidRPr="00C67211">
        <w:t xml:space="preserve"> </w:t>
      </w:r>
      <w:r w:rsidR="005E0905">
        <w:t>anche successivamente al 2025</w:t>
      </w:r>
      <w:r w:rsidRPr="00C67211">
        <w:t>, l’Ente territorialmente competente dà atto della procedura partecipata attivata col/i gestore/i e fornisce il dettaglio della rimodulazione</w:t>
      </w:r>
      <w:r w:rsidR="00194E8F">
        <w:t xml:space="preserve"> e/o del rinvio</w:t>
      </w:r>
      <w:r w:rsidRPr="00C67211">
        <w:t xml:space="preserve"> effettuat</w:t>
      </w:r>
      <w:r w:rsidR="00194E8F">
        <w:t>i</w:t>
      </w:r>
      <w:r w:rsidRPr="00C67211">
        <w:t>.</w:t>
      </w:r>
    </w:p>
    <w:p w14:paraId="66E5D737" w14:textId="77777777" w:rsidR="00C67211" w:rsidRPr="00C67211" w:rsidRDefault="00C67211" w:rsidP="00C67211">
      <w:r w:rsidRPr="00C67211">
        <w:lastRenderedPageBreak/>
        <w:t xml:space="preserve">L’Ente territorialmente competente indica altresì le valutazioni compiute e gli effetti della rimodulazione medesima, in termini di sostenibilità della tariffa applicata agli utenti e di equilibrio economico-finanziario della gestione.  </w:t>
      </w:r>
    </w:p>
    <w:p w14:paraId="6F182F97" w14:textId="77777777" w:rsidR="00C67211" w:rsidRDefault="00C67211" w:rsidP="00C67211">
      <w:pPr>
        <w:rPr>
          <w:b/>
          <w:bCs/>
        </w:rPr>
      </w:pPr>
    </w:p>
    <w:p w14:paraId="21E07A33" w14:textId="215FB10E" w:rsidR="00C67211" w:rsidRPr="00C67211" w:rsidRDefault="00C67211" w:rsidP="00396F35">
      <w:pPr>
        <w:pStyle w:val="Titolo2"/>
        <w:tabs>
          <w:tab w:val="clear" w:pos="5395"/>
        </w:tabs>
        <w:ind w:left="567"/>
      </w:pPr>
      <w:bookmarkStart w:id="178" w:name="_Toc86134980"/>
      <w:bookmarkStart w:id="179" w:name="_Toc86135069"/>
      <w:bookmarkStart w:id="180" w:name="_Toc86135663"/>
      <w:bookmarkStart w:id="181" w:name="_Toc149660966"/>
      <w:r w:rsidRPr="00C67211">
        <w:t>Rimodulazione del valore delle entrate tariffarie che eccede il limite alla variazione annuale</w:t>
      </w:r>
      <w:bookmarkEnd w:id="178"/>
      <w:bookmarkEnd w:id="179"/>
      <w:bookmarkEnd w:id="180"/>
      <w:bookmarkEnd w:id="181"/>
      <w:r w:rsidRPr="00C67211">
        <w:t xml:space="preserve"> </w:t>
      </w:r>
    </w:p>
    <w:p w14:paraId="3BBCCCB2" w14:textId="2E366B32" w:rsidR="00C67211" w:rsidRPr="00C67211" w:rsidRDefault="00C67211" w:rsidP="00C67211">
      <w:r w:rsidRPr="00C67211">
        <w:t xml:space="preserve">Nel caso in cui ci </w:t>
      </w:r>
      <w:r w:rsidR="001001E2">
        <w:t>s</w:t>
      </w:r>
      <w:r w:rsidRPr="00C67211">
        <w:t>i avvalga della facoltà prevista dall’articolo 4.5 del MTR-2</w:t>
      </w:r>
      <w:r w:rsidR="00557A35">
        <w:t xml:space="preserve"> aggiornat</w:t>
      </w:r>
      <w:r w:rsidR="00BB3AC6">
        <w:t>o</w:t>
      </w:r>
      <w:r w:rsidRPr="00C67211">
        <w:t xml:space="preserve"> di rimodulare tra le d</w:t>
      </w:r>
      <w:r w:rsidR="00557A35">
        <w:t>ue</w:t>
      </w:r>
      <w:r w:rsidRPr="00C67211">
        <w:t xml:space="preserve"> annualità </w:t>
      </w:r>
      <w:r w:rsidR="00BB3AC6">
        <w:t>2024-2025</w:t>
      </w:r>
      <w:r w:rsidR="00A64DAD">
        <w:t xml:space="preserve">, nonché anche successivamente </w:t>
      </w:r>
      <w:r w:rsidR="009B4C1F">
        <w:t>al 2025,</w:t>
      </w:r>
      <w:r w:rsidRPr="00C67211">
        <w:t xml:space="preserve"> la parte di entrate tariffarie che eccede il limite annuale di crescita, l’Ente territorialmente competente dà atto delle valutazioni compiute in ordine </w:t>
      </w:r>
      <w:r w:rsidR="001001E2">
        <w:t>al</w:t>
      </w:r>
      <w:r w:rsidRPr="00C67211">
        <w:t xml:space="preserve"> mantenimento dell’equilibrio economico finanziario </w:t>
      </w:r>
      <w:r w:rsidR="001001E2">
        <w:t>e al</w:t>
      </w:r>
      <w:r w:rsidRPr="00C67211">
        <w:t xml:space="preserve"> perseguimento degli specifici obiettivi programmati.  </w:t>
      </w:r>
    </w:p>
    <w:p w14:paraId="66A47304" w14:textId="77777777" w:rsidR="00C67211" w:rsidRPr="00C67211" w:rsidRDefault="00C67211" w:rsidP="00C67211"/>
    <w:p w14:paraId="73E7B315" w14:textId="77777777" w:rsidR="00C67211" w:rsidRPr="00C67211" w:rsidRDefault="00C67211" w:rsidP="00396F35">
      <w:pPr>
        <w:pStyle w:val="Titolo2"/>
        <w:tabs>
          <w:tab w:val="clear" w:pos="5395"/>
        </w:tabs>
        <w:ind w:left="567"/>
      </w:pPr>
      <w:bookmarkStart w:id="182" w:name="_Toc86134981"/>
      <w:bookmarkStart w:id="183" w:name="_Toc86135070"/>
      <w:bookmarkStart w:id="184" w:name="_Toc86135664"/>
      <w:bookmarkStart w:id="185" w:name="_Toc149660967"/>
      <w:r w:rsidRPr="00C67211">
        <w:t>Eventuale superamento del limite alla crescita annuale delle entrate tariffarie</w:t>
      </w:r>
      <w:bookmarkEnd w:id="182"/>
      <w:bookmarkEnd w:id="183"/>
      <w:bookmarkEnd w:id="184"/>
      <w:bookmarkEnd w:id="185"/>
      <w:r w:rsidRPr="00C67211">
        <w:t xml:space="preserve"> </w:t>
      </w:r>
    </w:p>
    <w:p w14:paraId="1ACE16A8" w14:textId="1733122A" w:rsidR="00C67211" w:rsidRPr="00C67211" w:rsidRDefault="00C67211" w:rsidP="00C67211">
      <w:r w:rsidRPr="00C67211">
        <w:t xml:space="preserve">L’Ente territorialmente competente, </w:t>
      </w:r>
      <w:r w:rsidR="00CE554D">
        <w:t xml:space="preserve">nel caso </w:t>
      </w:r>
      <w:r w:rsidR="001001E2">
        <w:t xml:space="preserve">in cui </w:t>
      </w:r>
      <w:r w:rsidR="00CE554D">
        <w:t xml:space="preserve">vi siano situazioni </w:t>
      </w:r>
      <w:r w:rsidR="00CE554D" w:rsidRPr="00C67211">
        <w:t xml:space="preserve">di squilibrio economico e finanziario </w:t>
      </w:r>
      <w:r w:rsidR="008C7257">
        <w:t>e</w:t>
      </w:r>
      <w:r w:rsidRPr="00C67211">
        <w:t xml:space="preserve"> ritenga necessario</w:t>
      </w:r>
      <w:r w:rsidR="002D51B8">
        <w:t>,</w:t>
      </w:r>
      <w:r w:rsidRPr="00C67211">
        <w:t xml:space="preserve"> per il raggiungimento degli obiettivi migliorativi definiti</w:t>
      </w:r>
      <w:r w:rsidR="002D51B8">
        <w:t>,</w:t>
      </w:r>
      <w:r w:rsidRPr="00C67211">
        <w:t xml:space="preserve"> il superamento del limite annuale di crescita</w:t>
      </w:r>
      <w:r w:rsidR="002D51B8">
        <w:t xml:space="preserve"> –</w:t>
      </w:r>
      <w:r w:rsidRPr="00C67211">
        <w:t xml:space="preserve"> determinato secondo le regole dell’articolo 4.1 del MTR-2</w:t>
      </w:r>
      <w:r w:rsidR="00CE1364">
        <w:t xml:space="preserve"> aggiornato</w:t>
      </w:r>
      <w:r w:rsidR="002D51B8">
        <w:t xml:space="preserve"> –</w:t>
      </w:r>
      <w:r w:rsidRPr="00C67211">
        <w:t xml:space="preserve"> allega un’apposita Relazione in cui attesta:</w:t>
      </w:r>
    </w:p>
    <w:p w14:paraId="6F47DF67" w14:textId="1A3EC566" w:rsidR="00C67211" w:rsidRPr="00C67211" w:rsidRDefault="00C67211" w:rsidP="00C67211">
      <w:pPr>
        <w:numPr>
          <w:ilvl w:val="0"/>
          <w:numId w:val="72"/>
        </w:numPr>
      </w:pPr>
      <w:r w:rsidRPr="00C67211">
        <w:t xml:space="preserve">le valutazioni di congruità compiute sulla base del </w:t>
      </w:r>
      <w:r w:rsidRPr="00BC1E8A">
        <w:rPr>
          <w:i/>
          <w:iCs/>
        </w:rPr>
        <w:t>Benchmark</w:t>
      </w:r>
      <w:r w:rsidRPr="00C67211">
        <w:t xml:space="preserve"> di riferimento e l’analisi delle risultanze che presentino oneri significativamente superiori ai valori standard; </w:t>
      </w:r>
    </w:p>
    <w:p w14:paraId="7CD331C7" w14:textId="661AFF63" w:rsidR="00C67211" w:rsidRPr="00C67211" w:rsidRDefault="00C67211" w:rsidP="00C67211">
      <w:pPr>
        <w:numPr>
          <w:ilvl w:val="0"/>
          <w:numId w:val="72"/>
        </w:numPr>
      </w:pPr>
      <w:r w:rsidRPr="00C67211">
        <w:t xml:space="preserve">l’effetto relativo alla valorizzazione del fattore di </w:t>
      </w:r>
      <w:r w:rsidRPr="00C67211">
        <w:rPr>
          <w:i/>
          <w:iCs/>
        </w:rPr>
        <w:t xml:space="preserve">sharing </w:t>
      </w:r>
      <w:r w:rsidRPr="00C67211">
        <w:rPr>
          <w:rFonts w:ascii="Cambria Math" w:hAnsi="Cambria Math" w:cs="Cambria Math"/>
        </w:rPr>
        <w:t>𝑏</w:t>
      </w:r>
      <w:r w:rsidRPr="00C67211">
        <w:t xml:space="preserve"> in corrispondenza dell’estremo superiore dell’intervallo; </w:t>
      </w:r>
    </w:p>
    <w:p w14:paraId="4D29A650" w14:textId="7CCD9A46" w:rsidR="00C67211" w:rsidRPr="00C67211" w:rsidRDefault="00C67211" w:rsidP="00C67211">
      <w:pPr>
        <w:numPr>
          <w:ilvl w:val="0"/>
          <w:numId w:val="72"/>
        </w:numPr>
      </w:pPr>
      <w:r w:rsidRPr="00C67211">
        <w:t xml:space="preserve">le valutazioni relative agli eventuali oneri aggiuntivi relativi a modifiche nel perimetro gestionale o a incrementi di qualità delle prestazioni, anche in relazione all’adeguamento agli standard di qualità introdotti dall’Autorità; </w:t>
      </w:r>
    </w:p>
    <w:p w14:paraId="51DE3130" w14:textId="1DB76776" w:rsidR="00C67211" w:rsidRPr="00C67211" w:rsidRDefault="00C67211" w:rsidP="005A20A5">
      <w:pPr>
        <w:numPr>
          <w:ilvl w:val="0"/>
          <w:numId w:val="72"/>
        </w:numPr>
        <w:jc w:val="left"/>
      </w:pPr>
      <w:r w:rsidRPr="00C67211">
        <w:t xml:space="preserve">le valutazioni relative all’allocazione temporale delle componenti di conguaglio mediante la loro rimodulazione fra le </w:t>
      </w:r>
      <w:r w:rsidR="004028F3">
        <w:t>due</w:t>
      </w:r>
      <w:r w:rsidR="004028F3" w:rsidRPr="00C67211">
        <w:t xml:space="preserve"> </w:t>
      </w:r>
      <w:r w:rsidRPr="00C67211">
        <w:t xml:space="preserve">annualità </w:t>
      </w:r>
      <w:r w:rsidR="004028F3">
        <w:t>2024 e 2025</w:t>
      </w:r>
      <w:r w:rsidRPr="00C67211">
        <w:t xml:space="preserve"> o la previsione di un loro recupero successivo al 2025, dando atto della procedura partecipata attivata col/i gestore/i.</w:t>
      </w:r>
    </w:p>
    <w:p w14:paraId="0E74A03A" w14:textId="17FD3712" w:rsidR="00C67211" w:rsidRDefault="00C67211" w:rsidP="002D332F"/>
    <w:p w14:paraId="099C2379" w14:textId="4E286918" w:rsidR="008A00F8" w:rsidRPr="00C67211" w:rsidRDefault="00366E6F" w:rsidP="00396F35">
      <w:pPr>
        <w:pStyle w:val="Titolo2"/>
        <w:tabs>
          <w:tab w:val="clear" w:pos="5395"/>
        </w:tabs>
        <w:ind w:left="567"/>
      </w:pPr>
      <w:bookmarkStart w:id="186" w:name="_Toc86134982"/>
      <w:bookmarkStart w:id="187" w:name="_Toc86135071"/>
      <w:bookmarkStart w:id="188" w:name="_Toc86135665"/>
      <w:bookmarkStart w:id="189" w:name="_Toc149660968"/>
      <w:r>
        <w:t>Ulteriori</w:t>
      </w:r>
      <w:r w:rsidR="008A00F8" w:rsidRPr="00C67211">
        <w:t xml:space="preserve"> detrazioni</w:t>
      </w:r>
      <w:bookmarkEnd w:id="186"/>
      <w:bookmarkEnd w:id="187"/>
      <w:bookmarkEnd w:id="188"/>
      <w:bookmarkEnd w:id="189"/>
      <w:r w:rsidR="008A00F8" w:rsidRPr="00C67211">
        <w:t xml:space="preserve"> </w:t>
      </w:r>
    </w:p>
    <w:p w14:paraId="46099114" w14:textId="34C46097" w:rsidR="008A00F8" w:rsidRPr="00C67211" w:rsidRDefault="008A00F8" w:rsidP="008A00F8">
      <w:r w:rsidRPr="00C67211">
        <w:t xml:space="preserve">L’Ente territorialmente competente fornisce il dettaglio delle voci valorizzate nell’ambito delle detrazioni di cui all’articolo </w:t>
      </w:r>
      <w:r w:rsidRPr="00CC11F6">
        <w:t>1.</w:t>
      </w:r>
      <w:r w:rsidR="002D51B8">
        <w:t>4</w:t>
      </w:r>
      <w:r w:rsidRPr="00C67211">
        <w:t xml:space="preserve"> della determina n.</w:t>
      </w:r>
      <w:r w:rsidR="00AE3EB4">
        <w:t xml:space="preserve"> </w:t>
      </w:r>
      <w:r w:rsidR="00243F7A">
        <w:t>2</w:t>
      </w:r>
      <w:r w:rsidRPr="00C67211">
        <w:t>/DRIF/202</w:t>
      </w:r>
      <w:r>
        <w:t>1</w:t>
      </w:r>
      <w:r w:rsidRPr="00C67211">
        <w:rPr>
          <w:vertAlign w:val="superscript"/>
        </w:rPr>
        <w:footnoteReference w:id="6"/>
      </w:r>
      <w:r w:rsidRPr="00C67211">
        <w:t>.</w:t>
      </w:r>
    </w:p>
    <w:p w14:paraId="390259C3" w14:textId="53C7C7FD" w:rsidR="00D42999" w:rsidRDefault="008A00F8" w:rsidP="003540AD">
      <w:r w:rsidRPr="00C67211">
        <w:t>Relativamente al contributo MIUR, il medesimo Ente specifica l’anno di riferimento del contributo valorizzato nell’A</w:t>
      </w:r>
      <w:r w:rsidR="008B1E39">
        <w:t>llegato</w:t>
      </w:r>
      <w:r w:rsidRPr="00C67211">
        <w:t xml:space="preserve"> 1</w:t>
      </w:r>
      <w:r w:rsidR="005B344C">
        <w:t xml:space="preserve"> </w:t>
      </w:r>
      <w:r w:rsidR="005B344C" w:rsidRPr="005A20A5">
        <w:rPr>
          <w:i/>
          <w:iCs/>
        </w:rPr>
        <w:t>Tool</w:t>
      </w:r>
      <w:r w:rsidR="005B344C">
        <w:t xml:space="preserve"> di calcolo</w:t>
      </w:r>
      <w:r w:rsidRPr="00C67211">
        <w:t>.</w:t>
      </w:r>
    </w:p>
    <w:p w14:paraId="50333E88" w14:textId="77777777" w:rsidR="00030F1C" w:rsidRDefault="00030F1C" w:rsidP="003540AD"/>
    <w:p w14:paraId="605FF252" w14:textId="02F64FFC" w:rsidR="006C0E8D" w:rsidRPr="00C67211" w:rsidRDefault="006C0E8D" w:rsidP="006C0E8D">
      <w:pPr>
        <w:pStyle w:val="Titolo2"/>
        <w:tabs>
          <w:tab w:val="clear" w:pos="5395"/>
        </w:tabs>
        <w:ind w:left="567"/>
      </w:pPr>
      <w:bookmarkStart w:id="190" w:name="_Toc149660969"/>
      <w:r>
        <w:t>Monitoraggio del grado di copertura dei costi efficienti della raccolta differenziata</w:t>
      </w:r>
      <w:bookmarkEnd w:id="190"/>
    </w:p>
    <w:p w14:paraId="52E390E4" w14:textId="689EE5F1" w:rsidR="00BA4488" w:rsidRDefault="009C530B" w:rsidP="003540AD">
      <w:pPr>
        <w:rPr>
          <w:iCs/>
        </w:rPr>
      </w:pPr>
      <w:r>
        <w:t>L’Ente territorialmente competente argoment</w:t>
      </w:r>
      <w:r w:rsidR="00C9682B">
        <w:t>a in merito</w:t>
      </w:r>
      <w:r>
        <w:t xml:space="preserve"> </w:t>
      </w:r>
      <w:r w:rsidR="00C9682B">
        <w:t>al</w:t>
      </w:r>
      <w:r>
        <w:t xml:space="preserve">la quantificazione del </w:t>
      </w:r>
      <w:r w:rsidR="00F572D1" w:rsidRPr="00D10EC2">
        <w:t xml:space="preserve">valore di partenza </w:t>
      </w:r>
      <m:oMath>
        <m:sSub>
          <m:sSubPr>
            <m:ctrlPr>
              <w:rPr>
                <w:rFonts w:ascii="Cambria Math" w:hAnsi="Cambria Math"/>
                <w:i/>
                <w:iCs/>
              </w:rPr>
            </m:ctrlPr>
          </m:sSubPr>
          <m:e>
            <m:r>
              <w:rPr>
                <w:rFonts w:ascii="Cambria Math" w:hAnsi="Cambria Math"/>
              </w:rPr>
              <m:t>Η</m:t>
            </m:r>
          </m:e>
          <m:sub>
            <m:r>
              <w:rPr>
                <w:rFonts w:ascii="Cambria Math" w:hAnsi="Cambria Math"/>
              </w:rPr>
              <m:t>2024</m:t>
            </m:r>
          </m:sub>
        </m:sSub>
      </m:oMath>
      <w:r w:rsidR="00F572D1">
        <w:rPr>
          <w:iCs/>
        </w:rPr>
        <w:t xml:space="preserve"> </w:t>
      </w:r>
      <w:r w:rsidR="00DA7175">
        <w:rPr>
          <w:iCs/>
        </w:rPr>
        <w:t xml:space="preserve">e </w:t>
      </w:r>
      <w:r w:rsidR="00C9682B">
        <w:rPr>
          <w:iCs/>
        </w:rPr>
        <w:t>a</w:t>
      </w:r>
      <w:r w:rsidR="00DA7175">
        <w:rPr>
          <w:iCs/>
        </w:rPr>
        <w:t>lla conseguente</w:t>
      </w:r>
      <w:r w:rsidR="005161E1">
        <w:rPr>
          <w:iCs/>
        </w:rPr>
        <w:t xml:space="preserve"> assegnazione degli obiettivi di miglioramento/mantenimento secondo la </w:t>
      </w:r>
      <w:r w:rsidR="00DA7175">
        <w:rPr>
          <w:iCs/>
        </w:rPr>
        <w:t xml:space="preserve">collocazione </w:t>
      </w:r>
      <w:r w:rsidR="004E6462">
        <w:rPr>
          <w:iCs/>
        </w:rPr>
        <w:t>in una delle classi</w:t>
      </w:r>
      <w:r w:rsidR="005B44A1">
        <w:rPr>
          <w:iCs/>
        </w:rPr>
        <w:t xml:space="preserve"> </w:t>
      </w:r>
      <w:r w:rsidR="000B2D42">
        <w:rPr>
          <w:iCs/>
        </w:rPr>
        <w:t>(da A ad I) di cui alla tabella</w:t>
      </w:r>
      <w:r w:rsidR="002143EA">
        <w:rPr>
          <w:iCs/>
        </w:rPr>
        <w:t xml:space="preserve"> riportata al comma 8.2 del MTR-2 aggiornato</w:t>
      </w:r>
      <w:r w:rsidR="004E6462">
        <w:rPr>
          <w:iCs/>
        </w:rPr>
        <w:t xml:space="preserve">. </w:t>
      </w:r>
    </w:p>
    <w:p w14:paraId="30BF9213" w14:textId="38DEF352" w:rsidR="008167D1" w:rsidRDefault="00BA4488" w:rsidP="003540AD">
      <w:pPr>
        <w:rPr>
          <w:iCs/>
        </w:rPr>
      </w:pPr>
      <w:r>
        <w:rPr>
          <w:iCs/>
        </w:rPr>
        <w:t>In particolare</w:t>
      </w:r>
      <w:r w:rsidR="00C3116B">
        <w:rPr>
          <w:iCs/>
        </w:rPr>
        <w:t>, nel caso di disponibilità dei dati richiesti</w:t>
      </w:r>
      <w:r w:rsidR="00582ADA">
        <w:rPr>
          <w:iCs/>
        </w:rPr>
        <w:t xml:space="preserve">, </w:t>
      </w:r>
      <w:r w:rsidR="00541811">
        <w:rPr>
          <w:iCs/>
        </w:rPr>
        <w:t>l’</w:t>
      </w:r>
      <w:r w:rsidR="00DA6070">
        <w:rPr>
          <w:iCs/>
        </w:rPr>
        <w:t>E</w:t>
      </w:r>
      <w:r w:rsidR="00541811">
        <w:rPr>
          <w:iCs/>
        </w:rPr>
        <w:t>nte territorialmente competente</w:t>
      </w:r>
      <w:r w:rsidR="009E0537">
        <w:rPr>
          <w:iCs/>
        </w:rPr>
        <w:t xml:space="preserve"> oltre ad</w:t>
      </w:r>
      <w:r w:rsidR="00541811">
        <w:rPr>
          <w:iCs/>
        </w:rPr>
        <w:t xml:space="preserve"> </w:t>
      </w:r>
      <w:r w:rsidR="00EE0D03">
        <w:rPr>
          <w:iCs/>
        </w:rPr>
        <w:t>illustra</w:t>
      </w:r>
      <w:r w:rsidR="009E0537">
        <w:rPr>
          <w:iCs/>
        </w:rPr>
        <w:t>re</w:t>
      </w:r>
      <w:r w:rsidR="00836D74">
        <w:rPr>
          <w:iCs/>
        </w:rPr>
        <w:t xml:space="preserve"> </w:t>
      </w:r>
      <w:r w:rsidR="00EE0D03">
        <w:rPr>
          <w:iCs/>
        </w:rPr>
        <w:t>le stime effettuate per l</w:t>
      </w:r>
      <w:r w:rsidR="00836D74">
        <w:rPr>
          <w:iCs/>
        </w:rPr>
        <w:t>a valorizzazione delle grandezze richieste per il calcolo</w:t>
      </w:r>
      <w:r w:rsidR="00B51298">
        <w:rPr>
          <w:iCs/>
        </w:rPr>
        <w:t>,</w:t>
      </w:r>
      <w:r w:rsidR="00795BDE">
        <w:rPr>
          <w:iCs/>
        </w:rPr>
        <w:t xml:space="preserve"> precisa,</w:t>
      </w:r>
      <w:r w:rsidR="00A665EB">
        <w:rPr>
          <w:iCs/>
        </w:rPr>
        <w:t xml:space="preserve"> </w:t>
      </w:r>
      <w:r w:rsidR="00A665EB">
        <w:rPr>
          <w:iCs/>
        </w:rPr>
        <w:lastRenderedPageBreak/>
        <w:t>laddove fosse necessario</w:t>
      </w:r>
      <w:r w:rsidR="00957E25">
        <w:rPr>
          <w:iCs/>
        </w:rPr>
        <w:t>, le ragioni d</w:t>
      </w:r>
      <w:r w:rsidR="00C81D43">
        <w:rPr>
          <w:iCs/>
        </w:rPr>
        <w:t>i un</w:t>
      </w:r>
      <w:r w:rsidR="00957E25">
        <w:rPr>
          <w:iCs/>
        </w:rPr>
        <w:t>’eventual</w:t>
      </w:r>
      <w:r w:rsidR="00C1687A">
        <w:rPr>
          <w:iCs/>
        </w:rPr>
        <w:t xml:space="preserve">e stima </w:t>
      </w:r>
      <w:r w:rsidR="003933F8">
        <w:rPr>
          <w:iCs/>
        </w:rPr>
        <w:t>del</w:t>
      </w:r>
      <w:r w:rsidR="00A70ED8">
        <w:rPr>
          <w:iCs/>
        </w:rPr>
        <w:t xml:space="preserve"> valore di</w:t>
      </w:r>
      <w:r w:rsidR="003933F8">
        <w:rPr>
          <w:iCs/>
        </w:rPr>
        <w:t xml:space="preserve"> </w:t>
      </w:r>
      <m:oMath>
        <m:sSubSup>
          <m:sSubSupPr>
            <m:ctrlPr>
              <w:rPr>
                <w:rFonts w:ascii="Cambria Math" w:hAnsi="Cambria Math"/>
                <w:i/>
                <w:iCs/>
              </w:rPr>
            </m:ctrlPr>
          </m:sSubSupPr>
          <m:e>
            <m:r>
              <w:rPr>
                <w:rFonts w:ascii="Cambria Math" w:hAnsi="Cambria Math"/>
              </w:rPr>
              <m:t>CRD</m:t>
            </m:r>
          </m:e>
          <m:sub>
            <m:r>
              <w:rPr>
                <w:rFonts w:ascii="Cambria Math" w:hAnsi="Cambria Math"/>
              </w:rPr>
              <m:t>SC_si</m:t>
            </m:r>
          </m:sub>
          <m:sup>
            <m:r>
              <w:rPr>
                <w:rFonts w:ascii="Cambria Math" w:hAnsi="Cambria Math"/>
              </w:rPr>
              <m:t xml:space="preserve"> </m:t>
            </m:r>
          </m:sup>
        </m:sSubSup>
        <m:r>
          <w:rPr>
            <w:rFonts w:ascii="Cambria Math" w:hAnsi="Cambria Math"/>
          </w:rPr>
          <m:t xml:space="preserve"> </m:t>
        </m:r>
      </m:oMath>
      <w:r w:rsidR="00C1687A">
        <w:rPr>
          <w:iCs/>
        </w:rPr>
        <w:t>al di sotto</w:t>
      </w:r>
      <w:r w:rsidR="009F3D5C">
        <w:rPr>
          <w:iCs/>
        </w:rPr>
        <w:t xml:space="preserve"> del</w:t>
      </w:r>
      <w:r w:rsidR="00A70ED8">
        <w:rPr>
          <w:iCs/>
        </w:rPr>
        <w:t>la soglia</w:t>
      </w:r>
      <w:r w:rsidR="001B5FD2">
        <w:rPr>
          <w:iCs/>
        </w:rPr>
        <w:t xml:space="preserve"> minima</w:t>
      </w:r>
      <w:r w:rsidR="009F3D5C">
        <w:rPr>
          <w:iCs/>
        </w:rPr>
        <w:t xml:space="preserve"> </w:t>
      </w:r>
      <w:r w:rsidR="000479A7">
        <w:rPr>
          <w:iCs/>
        </w:rPr>
        <w:t>“</w:t>
      </w:r>
      <w:r w:rsidR="009F3D5C">
        <w:rPr>
          <w:i/>
        </w:rPr>
        <w:t>floor</w:t>
      </w:r>
      <w:r w:rsidR="000479A7" w:rsidRPr="00DA6070">
        <w:rPr>
          <w:iCs/>
        </w:rPr>
        <w:t>”</w:t>
      </w:r>
      <w:r w:rsidR="009F3D5C">
        <w:rPr>
          <w:iCs/>
        </w:rPr>
        <w:t xml:space="preserve"> </w:t>
      </w:r>
      <w:r w:rsidR="00A23781">
        <w:rPr>
          <w:iCs/>
        </w:rPr>
        <w:t>indicat</w:t>
      </w:r>
      <w:r w:rsidR="002D36EB">
        <w:rPr>
          <w:iCs/>
        </w:rPr>
        <w:t>a</w:t>
      </w:r>
      <w:r w:rsidR="00A23781">
        <w:rPr>
          <w:iCs/>
        </w:rPr>
        <w:t xml:space="preserve"> nel </w:t>
      </w:r>
      <w:r w:rsidR="00A23781" w:rsidRPr="00DA6070">
        <w:rPr>
          <w:i/>
        </w:rPr>
        <w:t>Tool</w:t>
      </w:r>
      <w:r w:rsidR="00A23781">
        <w:rPr>
          <w:iCs/>
        </w:rPr>
        <w:t xml:space="preserve"> di calcolo</w:t>
      </w:r>
      <w:r w:rsidR="00A665EB">
        <w:rPr>
          <w:iCs/>
        </w:rPr>
        <w:t>.</w:t>
      </w:r>
    </w:p>
    <w:p w14:paraId="7FCD7E74" w14:textId="49244BEA" w:rsidR="005F403E" w:rsidRDefault="005F403E" w:rsidP="003540AD">
      <w:pPr>
        <w:rPr>
          <w:iCs/>
        </w:rPr>
      </w:pPr>
    </w:p>
    <w:p w14:paraId="7F65C160" w14:textId="7006BA95" w:rsidR="00EB652A" w:rsidRPr="00EB652A" w:rsidRDefault="00EB652A" w:rsidP="003540AD">
      <w:pPr>
        <w:rPr>
          <w:iCs/>
        </w:rPr>
      </w:pPr>
    </w:p>
    <w:sectPr w:rsidR="00EB652A" w:rsidRPr="00EB652A" w:rsidSect="00BD4048">
      <w:pgSz w:w="11906" w:h="16838"/>
      <w:pgMar w:top="1701"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7C3DE" w14:textId="77777777" w:rsidR="00C22B24" w:rsidRDefault="00C22B24" w:rsidP="00393406">
      <w:r>
        <w:separator/>
      </w:r>
    </w:p>
  </w:endnote>
  <w:endnote w:type="continuationSeparator" w:id="0">
    <w:p w14:paraId="0D283A1D" w14:textId="77777777" w:rsidR="00C22B24" w:rsidRDefault="00C22B24" w:rsidP="00393406">
      <w:r>
        <w:continuationSeparator/>
      </w:r>
    </w:p>
  </w:endnote>
  <w:endnote w:type="continuationNotice" w:id="1">
    <w:p w14:paraId="454E8C2F" w14:textId="77777777" w:rsidR="00C22B24" w:rsidRDefault="00C22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1B5D" w14:textId="77777777" w:rsidR="001001E2" w:rsidRDefault="001001E2" w:rsidP="00393406">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14:paraId="2686BBEB" w14:textId="77777777" w:rsidR="001001E2" w:rsidRDefault="001001E2" w:rsidP="0039340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221819"/>
      <w:docPartObj>
        <w:docPartGallery w:val="Page Numbers (Bottom of Page)"/>
        <w:docPartUnique/>
      </w:docPartObj>
    </w:sdtPr>
    <w:sdtEndPr/>
    <w:sdtContent>
      <w:p w14:paraId="49E1FEF5" w14:textId="33571BB9" w:rsidR="001001E2" w:rsidRDefault="001001E2">
        <w:pPr>
          <w:pStyle w:val="Pidipagina"/>
          <w:jc w:val="right"/>
        </w:pPr>
        <w:r>
          <w:fldChar w:fldCharType="begin"/>
        </w:r>
        <w:r>
          <w:instrText>PAGE   \* MERGEFORMAT</w:instrText>
        </w:r>
        <w:r>
          <w:fldChar w:fldCharType="separate"/>
        </w:r>
        <w:r w:rsidR="00F36838" w:rsidRPr="00F36838">
          <w:rPr>
            <w:noProof/>
            <w:lang w:val="it-IT"/>
          </w:rPr>
          <w:t>15</w:t>
        </w:r>
        <w:r>
          <w:fldChar w:fldCharType="end"/>
        </w:r>
      </w:p>
    </w:sdtContent>
  </w:sdt>
  <w:p w14:paraId="51F137F2" w14:textId="77777777" w:rsidR="001001E2" w:rsidRDefault="001001E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FAE71" w14:textId="77777777" w:rsidR="00C22B24" w:rsidRDefault="00C22B24" w:rsidP="00393406">
      <w:r>
        <w:separator/>
      </w:r>
    </w:p>
  </w:footnote>
  <w:footnote w:type="continuationSeparator" w:id="0">
    <w:p w14:paraId="5F6BA0D1" w14:textId="77777777" w:rsidR="00C22B24" w:rsidRDefault="00C22B24" w:rsidP="00393406">
      <w:r>
        <w:continuationSeparator/>
      </w:r>
    </w:p>
  </w:footnote>
  <w:footnote w:type="continuationNotice" w:id="1">
    <w:p w14:paraId="4C9F68B0" w14:textId="77777777" w:rsidR="00C22B24" w:rsidRDefault="00C22B24"/>
  </w:footnote>
  <w:footnote w:id="2">
    <w:p w14:paraId="279AE804" w14:textId="3E2145CE" w:rsidR="001001E2" w:rsidRPr="00A8048C" w:rsidRDefault="001001E2" w:rsidP="00DF1881">
      <w:pPr>
        <w:pStyle w:val="Testonotaapidipagina"/>
        <w:rPr>
          <w:lang w:val="it-IT"/>
        </w:rPr>
      </w:pPr>
      <w:r>
        <w:rPr>
          <w:rStyle w:val="Rimandonotaapidipagina"/>
        </w:rPr>
        <w:footnoteRef/>
      </w:r>
      <w:r w:rsidRPr="00A8048C">
        <w:rPr>
          <w:lang w:val="it-IT"/>
        </w:rPr>
        <w:t xml:space="preserve"> Per ambito tariffario</w:t>
      </w:r>
      <w:r>
        <w:rPr>
          <w:lang w:val="it-IT"/>
        </w:rPr>
        <w:t xml:space="preserve"> </w:t>
      </w:r>
      <w:r w:rsidRPr="00DA5167">
        <w:rPr>
          <w:lang w:val="it-IT"/>
        </w:rPr>
        <w:t xml:space="preserve">o gestione </w:t>
      </w:r>
      <w:r w:rsidRPr="00A8048C">
        <w:rPr>
          <w:lang w:val="it-IT"/>
        </w:rPr>
        <w:t>si intende il territorio comunale o sovracomunale sul quale si applica la medesima tariffa (sia essa di natura tributaria o corrispettiva).</w:t>
      </w:r>
    </w:p>
  </w:footnote>
  <w:footnote w:id="3">
    <w:p w14:paraId="2F747B90" w14:textId="2A9D8EAB" w:rsidR="001001E2" w:rsidRPr="00D441E5" w:rsidRDefault="001001E2" w:rsidP="00291640">
      <w:pPr>
        <w:pStyle w:val="Testonotaapidipagina"/>
        <w:rPr>
          <w:lang w:val="it-IT"/>
        </w:rPr>
      </w:pPr>
      <w:r w:rsidRPr="00935494">
        <w:rPr>
          <w:rStyle w:val="Rimandonotaapidipagina"/>
        </w:rPr>
        <w:footnoteRef/>
      </w:r>
      <w:r w:rsidRPr="00935494">
        <w:rPr>
          <w:lang w:val="it-IT"/>
        </w:rPr>
        <w:t xml:space="preserve"> </w:t>
      </w:r>
      <w:r w:rsidRPr="00BC1E8A">
        <w:rPr>
          <w:lang w:val="it-IT"/>
        </w:rPr>
        <w:t>Ai sensi dell’articolo 1 del MTR-2</w:t>
      </w:r>
      <w:r w:rsidR="008D05C3">
        <w:rPr>
          <w:lang w:val="it-IT"/>
        </w:rPr>
        <w:t xml:space="preserve"> aggiornato</w:t>
      </w:r>
      <w:r w:rsidRPr="00BC1E8A">
        <w:rPr>
          <w:lang w:val="it-IT"/>
        </w:rPr>
        <w:t xml:space="preserve"> il servizio di micro raccolta dell’amianto da utenze domestiche è considerato attività dentro il perimetro gestionale se già inclusa nella gestione del ciclo integrato dei rifiuti urbani alla data del 03-08-2021 (data di pubblicazione della deliberazione 3 agosto 2021, 363/2021/R/</w:t>
      </w:r>
      <w:r w:rsidRPr="00D740F0">
        <w:rPr>
          <w:smallCaps/>
          <w:lang w:val="it-IT"/>
        </w:rPr>
        <w:t>rif</w:t>
      </w:r>
      <w:r w:rsidRPr="00BC1E8A">
        <w:rPr>
          <w:lang w:val="it-IT"/>
        </w:rPr>
        <w:t>).</w:t>
      </w:r>
    </w:p>
  </w:footnote>
  <w:footnote w:id="4">
    <w:p w14:paraId="7006D1AC" w14:textId="2D9C61D7" w:rsidR="001001E2" w:rsidRPr="00106438" w:rsidRDefault="001001E2">
      <w:pPr>
        <w:pStyle w:val="Testonotaapidipagina"/>
        <w:rPr>
          <w:color w:val="0070C0"/>
          <w:lang w:val="it-IT"/>
        </w:rPr>
      </w:pPr>
      <w:r w:rsidRPr="00106438">
        <w:rPr>
          <w:rStyle w:val="Rimandonotaapidipagina"/>
        </w:rPr>
        <w:footnoteRef/>
      </w:r>
      <w:r w:rsidRPr="00106438">
        <w:rPr>
          <w:lang w:val="it-IT"/>
        </w:rPr>
        <w:t xml:space="preserve"> A</w:t>
      </w:r>
      <w:r w:rsidRPr="00A91574">
        <w:rPr>
          <w:lang w:val="it-IT"/>
        </w:rPr>
        <w:t xml:space="preserve">i sensi </w:t>
      </w:r>
      <w:r w:rsidRPr="00BC1E8A">
        <w:rPr>
          <w:lang w:val="it-IT"/>
        </w:rPr>
        <w:t>dell’articolo 22</w:t>
      </w:r>
      <w:r>
        <w:rPr>
          <w:lang w:val="it-IT"/>
        </w:rPr>
        <w:t xml:space="preserve">, comma </w:t>
      </w:r>
      <w:r w:rsidRPr="00BC1E8A">
        <w:rPr>
          <w:lang w:val="it-IT"/>
        </w:rPr>
        <w:t>3</w:t>
      </w:r>
      <w:r>
        <w:rPr>
          <w:lang w:val="it-IT"/>
        </w:rPr>
        <w:t>,</w:t>
      </w:r>
      <w:r w:rsidRPr="00BC1E8A">
        <w:rPr>
          <w:lang w:val="it-IT"/>
        </w:rPr>
        <w:t xml:space="preserve"> la Componente ambientale non rientra nel computo delle entrate tariffarie</w:t>
      </w:r>
      <w:r>
        <w:rPr>
          <w:lang w:val="it-IT"/>
        </w:rPr>
        <w:t xml:space="preserve"> </w:t>
      </w:r>
      <w:r w:rsidRPr="00106438">
        <w:rPr>
          <w:lang w:val="it-IT"/>
        </w:rPr>
        <w:t>e non deve essere valorizzata nella Componente CO</w:t>
      </w:r>
      <w:r w:rsidRPr="00106438">
        <w:rPr>
          <w:vertAlign w:val="subscript"/>
          <w:lang w:val="it-IT"/>
        </w:rPr>
        <w:t>AL</w:t>
      </w:r>
      <w:r w:rsidRPr="00106438">
        <w:rPr>
          <w:lang w:val="it-IT"/>
        </w:rPr>
        <w:t>.</w:t>
      </w:r>
    </w:p>
  </w:footnote>
  <w:footnote w:id="5">
    <w:p w14:paraId="79362187" w14:textId="607FEDAC" w:rsidR="001001E2" w:rsidRPr="00647FEA" w:rsidRDefault="001001E2" w:rsidP="009C0BA3">
      <w:pPr>
        <w:pStyle w:val="Testonotaapidipagina"/>
        <w:rPr>
          <w:color w:val="0070C0"/>
          <w:lang w:val="it-IT"/>
        </w:rPr>
      </w:pPr>
      <w:r>
        <w:rPr>
          <w:rStyle w:val="Rimandonotaapidipagina"/>
        </w:rPr>
        <w:footnoteRef/>
      </w:r>
      <w:r w:rsidRPr="00B51CBF">
        <w:rPr>
          <w:lang w:val="it-IT"/>
        </w:rPr>
        <w:t xml:space="preserve"> </w:t>
      </w:r>
      <w:r w:rsidRPr="00BC1E8A">
        <w:rPr>
          <w:lang w:val="it-IT"/>
        </w:rPr>
        <w:t>Ai sensi dell’articolo 28.3 del MTR-2</w:t>
      </w:r>
      <w:r w:rsidR="00E172A4">
        <w:rPr>
          <w:lang w:val="it-IT"/>
        </w:rPr>
        <w:t xml:space="preserve"> aggiornato</w:t>
      </w:r>
      <w:r w:rsidRPr="00BC1E8A">
        <w:rPr>
          <w:lang w:val="it-IT"/>
        </w:rPr>
        <w:t xml:space="preserve"> l’attività di validazione deve essere svolta da un soggetto</w:t>
      </w:r>
      <w:r w:rsidRPr="00BC1E8A">
        <w:rPr>
          <w:rFonts w:eastAsia="Times New Roman"/>
          <w:sz w:val="24"/>
          <w:szCs w:val="24"/>
          <w:lang w:val="it-IT" w:eastAsia="it-IT"/>
        </w:rPr>
        <w:t xml:space="preserve"> </w:t>
      </w:r>
      <w:r w:rsidRPr="00BC1E8A">
        <w:rPr>
          <w:lang w:val="it-IT"/>
        </w:rPr>
        <w:t xml:space="preserve">dotato di adeguati profili di terzietà rispetto all’attività gestionale ed a tal fine all’attività di validazione può essere preposta, a seconda dei casi, una specifica struttura od un’unità organizzativa del medesimo Ente territorialmente (ad esempio l’organo di revisione contabile od un ufficio diverso da quello che ha fornito i dati) competente ovvero un’altra amministrazione territoriale. </w:t>
      </w:r>
    </w:p>
  </w:footnote>
  <w:footnote w:id="6">
    <w:p w14:paraId="06E06840" w14:textId="77777777" w:rsidR="001001E2" w:rsidRDefault="001001E2" w:rsidP="008A00F8">
      <w:pPr>
        <w:pStyle w:val="Testonotaapidipagina"/>
        <w:rPr>
          <w:lang w:val="it-IT"/>
        </w:rPr>
      </w:pPr>
      <w:r>
        <w:rPr>
          <w:rStyle w:val="Rimandonotaapidipagina"/>
        </w:rPr>
        <w:footnoteRef/>
      </w:r>
      <w:r w:rsidRPr="00E70B5C">
        <w:rPr>
          <w:lang w:val="it-IT"/>
        </w:rPr>
        <w:t xml:space="preserve"> </w:t>
      </w:r>
      <w:r>
        <w:rPr>
          <w:lang w:val="it-IT"/>
        </w:rPr>
        <w:t xml:space="preserve">Costituiscono componenti da sottrarre al totale delle entrate tariffarie: </w:t>
      </w:r>
    </w:p>
    <w:p w14:paraId="6A0C1E6A" w14:textId="77777777" w:rsidR="001001E2" w:rsidRPr="00E70B5C" w:rsidRDefault="001001E2" w:rsidP="008A00F8">
      <w:pPr>
        <w:pStyle w:val="Testonotaapidipagina"/>
        <w:rPr>
          <w:lang w:val="it-IT"/>
        </w:rPr>
      </w:pPr>
      <w:r w:rsidRPr="00E70B5C">
        <w:rPr>
          <w:lang w:val="it-IT"/>
        </w:rPr>
        <w:t>a) il contributo del MIUR per le istituzioni scolastiche statali ai sensi</w:t>
      </w:r>
      <w:r>
        <w:rPr>
          <w:lang w:val="it-IT"/>
        </w:rPr>
        <w:t xml:space="preserve"> </w:t>
      </w:r>
      <w:r w:rsidRPr="00E70B5C">
        <w:rPr>
          <w:lang w:val="it-IT"/>
        </w:rPr>
        <w:t>dell’articolo 33 bis del decreto-legge 248/07;</w:t>
      </w:r>
    </w:p>
    <w:p w14:paraId="6DF7A711" w14:textId="77777777" w:rsidR="001001E2" w:rsidRPr="00E70B5C" w:rsidRDefault="001001E2" w:rsidP="008A00F8">
      <w:pPr>
        <w:pStyle w:val="Testonotaapidipagina"/>
        <w:rPr>
          <w:lang w:val="it-IT"/>
        </w:rPr>
      </w:pPr>
      <w:r w:rsidRPr="00E70B5C">
        <w:rPr>
          <w:lang w:val="it-IT"/>
        </w:rPr>
        <w:t>b) le entrate effettivamente conseguite a seguito dell’attività di recupero</w:t>
      </w:r>
      <w:r>
        <w:rPr>
          <w:lang w:val="it-IT"/>
        </w:rPr>
        <w:t xml:space="preserve"> </w:t>
      </w:r>
      <w:r w:rsidRPr="00E70B5C">
        <w:rPr>
          <w:lang w:val="it-IT"/>
        </w:rPr>
        <w:t>dell’evasione;</w:t>
      </w:r>
    </w:p>
    <w:p w14:paraId="50D119DB" w14:textId="77777777" w:rsidR="001001E2" w:rsidRPr="00E70B5C" w:rsidRDefault="001001E2" w:rsidP="008A00F8">
      <w:pPr>
        <w:pStyle w:val="Testonotaapidipagina"/>
        <w:rPr>
          <w:lang w:val="it-IT"/>
        </w:rPr>
      </w:pPr>
      <w:r w:rsidRPr="00E70B5C">
        <w:rPr>
          <w:lang w:val="it-IT"/>
        </w:rPr>
        <w:t>c) le entrate derivanti da procedure sanzionatorie;</w:t>
      </w:r>
    </w:p>
    <w:p w14:paraId="00D9C8F2" w14:textId="77777777" w:rsidR="001001E2" w:rsidRPr="00E70B5C" w:rsidRDefault="001001E2" w:rsidP="008A00F8">
      <w:pPr>
        <w:pStyle w:val="Testonotaapidipagina"/>
        <w:rPr>
          <w:lang w:val="it-IT"/>
        </w:rPr>
      </w:pPr>
      <w:r w:rsidRPr="00E70B5C">
        <w:rPr>
          <w:lang w:val="it-IT"/>
        </w:rPr>
        <w:t>d) le ulteriori partite approvate dall’Ente territorialmente competente</w:t>
      </w:r>
      <w:r>
        <w:rPr>
          <w:lang w:val="it-I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D2E0" w14:textId="063098A3" w:rsidR="0074202F" w:rsidRPr="00D42821" w:rsidRDefault="0074202F" w:rsidP="0074202F">
    <w:pPr>
      <w:pStyle w:val="Intestazione"/>
      <w:jc w:val="left"/>
      <w:rPr>
        <w:rFonts w:ascii="Times New Roman" w:hAnsi="Times New Roman"/>
        <w:b/>
        <w:bCs/>
        <w:color w:val="auto"/>
        <w:sz w:val="24"/>
        <w:szCs w:val="24"/>
      </w:rPr>
    </w:pPr>
    <w:r w:rsidRPr="00D42821">
      <w:rPr>
        <w:rFonts w:ascii="Times New Roman" w:hAnsi="Times New Roman"/>
        <w:b/>
        <w:bCs/>
        <w:color w:val="auto"/>
        <w:sz w:val="24"/>
        <w:szCs w:val="24"/>
      </w:rPr>
      <w:t>ALLEGATO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4826"/>
    <w:multiLevelType w:val="hybridMultilevel"/>
    <w:tmpl w:val="3432B8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610305"/>
    <w:multiLevelType w:val="hybridMultilevel"/>
    <w:tmpl w:val="1A686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7A6095"/>
    <w:multiLevelType w:val="hybridMultilevel"/>
    <w:tmpl w:val="E544F68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2871F6E"/>
    <w:multiLevelType w:val="hybridMultilevel"/>
    <w:tmpl w:val="DF205BD8"/>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033C464B"/>
    <w:multiLevelType w:val="hybridMultilevel"/>
    <w:tmpl w:val="D7FA08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05B40681"/>
    <w:multiLevelType w:val="hybridMultilevel"/>
    <w:tmpl w:val="85269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4270A2"/>
    <w:multiLevelType w:val="multilevel"/>
    <w:tmpl w:val="678E428E"/>
    <w:lvl w:ilvl="0">
      <w:start w:val="1"/>
      <w:numFmt w:val="lowerLetter"/>
      <w:lvlText w:val="%1)"/>
      <w:lvlJc w:val="left"/>
      <w:pPr>
        <w:tabs>
          <w:tab w:val="num" w:pos="1105"/>
        </w:tabs>
        <w:ind w:left="1105" w:hanging="397"/>
      </w:pPr>
      <w:rPr>
        <w:rFonts w:hint="default"/>
      </w:rPr>
    </w:lvl>
    <w:lvl w:ilvl="1">
      <w:start w:val="1"/>
      <w:numFmt w:val="decimal"/>
      <w:suff w:val="space"/>
      <w:lvlText w:val="Capitolo %2"/>
      <w:lvlJc w:val="left"/>
      <w:pPr>
        <w:ind w:left="708" w:firstLine="0"/>
      </w:pPr>
      <w:rPr>
        <w:rFonts w:ascii="Times New Roman" w:hAnsi="Times New Roman" w:hint="default"/>
        <w:b/>
        <w:i w:val="0"/>
        <w:sz w:val="24"/>
      </w:rPr>
    </w:lvl>
    <w:lvl w:ilvl="2">
      <w:start w:val="1"/>
      <w:numFmt w:val="decimal"/>
      <w:lvlRestart w:val="0"/>
      <w:suff w:val="space"/>
      <w:lvlText w:val="Articolo %3"/>
      <w:lvlJc w:val="left"/>
      <w:pPr>
        <w:ind w:left="708" w:firstLine="567"/>
      </w:pPr>
      <w:rPr>
        <w:rFonts w:ascii="Times New Roman" w:hAnsi="Times New Roman" w:hint="default"/>
        <w:b/>
        <w:i w:val="0"/>
        <w:sz w:val="24"/>
      </w:rPr>
    </w:lvl>
    <w:lvl w:ilvl="3">
      <w:start w:val="1"/>
      <w:numFmt w:val="none"/>
      <w:suff w:val="nothing"/>
      <w:lvlText w:val=""/>
      <w:lvlJc w:val="center"/>
      <w:pPr>
        <w:ind w:left="708" w:firstLine="0"/>
      </w:pPr>
      <w:rPr>
        <w:rFonts w:hint="default"/>
      </w:rPr>
    </w:lvl>
    <w:lvl w:ilvl="4">
      <w:start w:val="1"/>
      <w:numFmt w:val="decimal"/>
      <w:lvlText w:val="%3.%5"/>
      <w:lvlJc w:val="left"/>
      <w:pPr>
        <w:tabs>
          <w:tab w:val="num" w:pos="1275"/>
        </w:tabs>
        <w:ind w:left="1275" w:hanging="567"/>
      </w:pPr>
      <w:rPr>
        <w:rFonts w:hint="default"/>
      </w:rPr>
    </w:lvl>
    <w:lvl w:ilvl="5">
      <w:start w:val="1"/>
      <w:numFmt w:val="lowerRoman"/>
      <w:lvlText w:val="%6."/>
      <w:lvlJc w:val="right"/>
      <w:pPr>
        <w:tabs>
          <w:tab w:val="num" w:pos="1068"/>
        </w:tabs>
        <w:ind w:left="1068" w:hanging="360"/>
      </w:pPr>
    </w:lvl>
    <w:lvl w:ilvl="6">
      <w:start w:val="1"/>
      <w:numFmt w:val="lowerRoman"/>
      <w:lvlText w:val="%7)"/>
      <w:lvlJc w:val="left"/>
      <w:pPr>
        <w:tabs>
          <w:tab w:val="num" w:pos="2562"/>
        </w:tabs>
        <w:ind w:left="2202" w:hanging="360"/>
      </w:pPr>
      <w:rPr>
        <w:rFonts w:hint="default"/>
      </w:rPr>
    </w:lvl>
    <w:lvl w:ilvl="7">
      <w:start w:val="1"/>
      <w:numFmt w:val="lowerRoman"/>
      <w:lvlText w:val="%8."/>
      <w:lvlJc w:val="right"/>
      <w:pPr>
        <w:tabs>
          <w:tab w:val="num" w:pos="2202"/>
        </w:tabs>
        <w:ind w:left="2202" w:hanging="360"/>
      </w:pPr>
    </w:lvl>
    <w:lvl w:ilvl="8">
      <w:start w:val="1"/>
      <w:numFmt w:val="none"/>
      <w:lvlText w:val=""/>
      <w:lvlJc w:val="left"/>
      <w:pPr>
        <w:tabs>
          <w:tab w:val="num" w:pos="2292"/>
        </w:tabs>
        <w:ind w:left="2292" w:hanging="1584"/>
      </w:pPr>
      <w:rPr>
        <w:rFonts w:hint="default"/>
      </w:rPr>
    </w:lvl>
  </w:abstractNum>
  <w:abstractNum w:abstractNumId="7" w15:restartNumberingAfterBreak="0">
    <w:nsid w:val="08E86642"/>
    <w:multiLevelType w:val="hybridMultilevel"/>
    <w:tmpl w:val="5DA88CF4"/>
    <w:lvl w:ilvl="0" w:tplc="04100001">
      <w:start w:val="1"/>
      <w:numFmt w:val="bullet"/>
      <w:lvlText w:val=""/>
      <w:lvlJc w:val="left"/>
      <w:pPr>
        <w:ind w:left="720" w:hanging="360"/>
      </w:pPr>
      <w:rPr>
        <w:rFonts w:ascii="Symbol" w:hAnsi="Symbol" w:hint="default"/>
      </w:rPr>
    </w:lvl>
    <w:lvl w:ilvl="1" w:tplc="F16AF0D4">
      <w:start w:val="1"/>
      <w:numFmt w:val="bullet"/>
      <w:lvlText w:val="-"/>
      <w:lvlJc w:val="left"/>
      <w:pPr>
        <w:ind w:left="1440" w:hanging="360"/>
      </w:pPr>
      <w:rPr>
        <w:rFonts w:ascii="Times New Roman" w:hAnsi="Times New Roman" w:cs="Times New Roman" w:hint="default"/>
      </w:rPr>
    </w:lvl>
    <w:lvl w:ilvl="2" w:tplc="B484B39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98E3852"/>
    <w:multiLevelType w:val="hybridMultilevel"/>
    <w:tmpl w:val="0C36D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8426F5"/>
    <w:multiLevelType w:val="hybridMultilevel"/>
    <w:tmpl w:val="70B65F7A"/>
    <w:lvl w:ilvl="0" w:tplc="565A1E1A">
      <w:start w:val="12"/>
      <w:numFmt w:val="bullet"/>
      <w:lvlText w:val="-"/>
      <w:lvlJc w:val="left"/>
      <w:pPr>
        <w:ind w:left="720" w:hanging="360"/>
      </w:pPr>
      <w:rPr>
        <w:rFonts w:ascii="Times New Roman" w:eastAsia="Times New Roman" w:hAnsi="Times New Roman" w:cs="Times New Roman" w:hint="default"/>
      </w:rPr>
    </w:lvl>
    <w:lvl w:ilvl="1" w:tplc="AC70E10C">
      <w:start w:val="1"/>
      <w:numFmt w:val="bullet"/>
      <w:lvlText w:val=""/>
      <w:lvlJc w:val="left"/>
      <w:pPr>
        <w:ind w:left="1440" w:hanging="360"/>
      </w:pPr>
      <w:rPr>
        <w:rFonts w:ascii="Wingdings 2" w:hAnsi="Wingdings 2"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C2D549A"/>
    <w:multiLevelType w:val="hybridMultilevel"/>
    <w:tmpl w:val="9F806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DD42A87"/>
    <w:multiLevelType w:val="hybridMultilevel"/>
    <w:tmpl w:val="5456FB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B484B39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D82A0B"/>
    <w:multiLevelType w:val="hybridMultilevel"/>
    <w:tmpl w:val="2EE4442A"/>
    <w:lvl w:ilvl="0" w:tplc="04100005">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3" w15:restartNumberingAfterBreak="0">
    <w:nsid w:val="187E45C6"/>
    <w:multiLevelType w:val="hybridMultilevel"/>
    <w:tmpl w:val="04429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9C7114B"/>
    <w:multiLevelType w:val="hybridMultilevel"/>
    <w:tmpl w:val="1EA03528"/>
    <w:lvl w:ilvl="0" w:tplc="F16AF0D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D3A7E4B"/>
    <w:multiLevelType w:val="hybridMultilevel"/>
    <w:tmpl w:val="65C48B06"/>
    <w:lvl w:ilvl="0" w:tplc="0410000B">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FACE3C06">
      <w:start w:val="2"/>
      <w:numFmt w:val="bullet"/>
      <w:lvlText w:val="-"/>
      <w:lvlJc w:val="left"/>
      <w:pPr>
        <w:ind w:left="2869" w:hanging="360"/>
      </w:pPr>
      <w:rPr>
        <w:rFonts w:ascii="Times New Roman" w:eastAsia="Times New Roman" w:hAnsi="Times New Roman" w:cs="Times New Roman"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2027354B"/>
    <w:multiLevelType w:val="hybridMultilevel"/>
    <w:tmpl w:val="6A7A56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4396438"/>
    <w:multiLevelType w:val="hybridMultilevel"/>
    <w:tmpl w:val="F6F83080"/>
    <w:lvl w:ilvl="0" w:tplc="2D4C279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2932297B"/>
    <w:multiLevelType w:val="hybridMultilevel"/>
    <w:tmpl w:val="2A1252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3492DD9"/>
    <w:multiLevelType w:val="hybridMultilevel"/>
    <w:tmpl w:val="DD3276D4"/>
    <w:lvl w:ilvl="0" w:tplc="565A1E1A">
      <w:start w:val="12"/>
      <w:numFmt w:val="bullet"/>
      <w:lvlText w:val="-"/>
      <w:lvlJc w:val="left"/>
      <w:pPr>
        <w:ind w:left="720" w:hanging="360"/>
      </w:pPr>
      <w:rPr>
        <w:rFonts w:ascii="Times New Roman" w:eastAsia="Times New Roman" w:hAnsi="Times New Roman" w:cs="Times New Roman" w:hint="default"/>
      </w:rPr>
    </w:lvl>
    <w:lvl w:ilvl="1" w:tplc="A00C654E">
      <w:start w:val="164"/>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D11F7F"/>
    <w:multiLevelType w:val="hybridMultilevel"/>
    <w:tmpl w:val="EB8AAAA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540F79"/>
    <w:multiLevelType w:val="hybridMultilevel"/>
    <w:tmpl w:val="72906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EC6BD1"/>
    <w:multiLevelType w:val="hybridMultilevel"/>
    <w:tmpl w:val="1B3C0B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B484B39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6A4F5E"/>
    <w:multiLevelType w:val="hybridMultilevel"/>
    <w:tmpl w:val="36C465B4"/>
    <w:lvl w:ilvl="0" w:tplc="FADA096A">
      <w:numFmt w:val="bullet"/>
      <w:lvlText w:val="-"/>
      <w:lvlJc w:val="left"/>
      <w:pPr>
        <w:ind w:left="1489" w:hanging="360"/>
      </w:pPr>
      <w:rPr>
        <w:rFonts w:ascii="Calibri" w:eastAsia="Times New Roman" w:hAnsi="Calibri" w:cs="Times New Roman" w:hint="default"/>
      </w:rPr>
    </w:lvl>
    <w:lvl w:ilvl="1" w:tplc="04100003" w:tentative="1">
      <w:start w:val="1"/>
      <w:numFmt w:val="bullet"/>
      <w:lvlText w:val="o"/>
      <w:lvlJc w:val="left"/>
      <w:pPr>
        <w:ind w:left="2209" w:hanging="360"/>
      </w:pPr>
      <w:rPr>
        <w:rFonts w:ascii="Courier New" w:hAnsi="Courier New" w:cs="Courier New" w:hint="default"/>
      </w:rPr>
    </w:lvl>
    <w:lvl w:ilvl="2" w:tplc="04100005" w:tentative="1">
      <w:start w:val="1"/>
      <w:numFmt w:val="bullet"/>
      <w:lvlText w:val=""/>
      <w:lvlJc w:val="left"/>
      <w:pPr>
        <w:ind w:left="2929" w:hanging="360"/>
      </w:pPr>
      <w:rPr>
        <w:rFonts w:ascii="Wingdings" w:hAnsi="Wingdings" w:hint="default"/>
      </w:rPr>
    </w:lvl>
    <w:lvl w:ilvl="3" w:tplc="04100001" w:tentative="1">
      <w:start w:val="1"/>
      <w:numFmt w:val="bullet"/>
      <w:lvlText w:val=""/>
      <w:lvlJc w:val="left"/>
      <w:pPr>
        <w:ind w:left="3649" w:hanging="360"/>
      </w:pPr>
      <w:rPr>
        <w:rFonts w:ascii="Symbol" w:hAnsi="Symbol" w:hint="default"/>
      </w:rPr>
    </w:lvl>
    <w:lvl w:ilvl="4" w:tplc="04100003" w:tentative="1">
      <w:start w:val="1"/>
      <w:numFmt w:val="bullet"/>
      <w:lvlText w:val="o"/>
      <w:lvlJc w:val="left"/>
      <w:pPr>
        <w:ind w:left="4369" w:hanging="360"/>
      </w:pPr>
      <w:rPr>
        <w:rFonts w:ascii="Courier New" w:hAnsi="Courier New" w:cs="Courier New" w:hint="default"/>
      </w:rPr>
    </w:lvl>
    <w:lvl w:ilvl="5" w:tplc="04100005" w:tentative="1">
      <w:start w:val="1"/>
      <w:numFmt w:val="bullet"/>
      <w:lvlText w:val=""/>
      <w:lvlJc w:val="left"/>
      <w:pPr>
        <w:ind w:left="5089" w:hanging="360"/>
      </w:pPr>
      <w:rPr>
        <w:rFonts w:ascii="Wingdings" w:hAnsi="Wingdings" w:hint="default"/>
      </w:rPr>
    </w:lvl>
    <w:lvl w:ilvl="6" w:tplc="04100001" w:tentative="1">
      <w:start w:val="1"/>
      <w:numFmt w:val="bullet"/>
      <w:lvlText w:val=""/>
      <w:lvlJc w:val="left"/>
      <w:pPr>
        <w:ind w:left="5809" w:hanging="360"/>
      </w:pPr>
      <w:rPr>
        <w:rFonts w:ascii="Symbol" w:hAnsi="Symbol" w:hint="default"/>
      </w:rPr>
    </w:lvl>
    <w:lvl w:ilvl="7" w:tplc="04100003" w:tentative="1">
      <w:start w:val="1"/>
      <w:numFmt w:val="bullet"/>
      <w:lvlText w:val="o"/>
      <w:lvlJc w:val="left"/>
      <w:pPr>
        <w:ind w:left="6529" w:hanging="360"/>
      </w:pPr>
      <w:rPr>
        <w:rFonts w:ascii="Courier New" w:hAnsi="Courier New" w:cs="Courier New" w:hint="default"/>
      </w:rPr>
    </w:lvl>
    <w:lvl w:ilvl="8" w:tplc="04100005" w:tentative="1">
      <w:start w:val="1"/>
      <w:numFmt w:val="bullet"/>
      <w:lvlText w:val=""/>
      <w:lvlJc w:val="left"/>
      <w:pPr>
        <w:ind w:left="7249" w:hanging="360"/>
      </w:pPr>
      <w:rPr>
        <w:rFonts w:ascii="Wingdings" w:hAnsi="Wingdings" w:hint="default"/>
      </w:rPr>
    </w:lvl>
  </w:abstractNum>
  <w:abstractNum w:abstractNumId="24" w15:restartNumberingAfterBreak="0">
    <w:nsid w:val="406A5186"/>
    <w:multiLevelType w:val="hybridMultilevel"/>
    <w:tmpl w:val="A5CAD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791BAA"/>
    <w:multiLevelType w:val="multilevel"/>
    <w:tmpl w:val="742E9482"/>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395"/>
        </w:tabs>
        <w:ind w:left="5395" w:hanging="576"/>
      </w:pPr>
    </w:lvl>
    <w:lvl w:ilvl="2">
      <w:start w:val="1"/>
      <w:numFmt w:val="decimal"/>
      <w:pStyle w:val="Titolo3"/>
      <w:lvlText w:val="%1.%2.%3"/>
      <w:lvlJc w:val="left"/>
      <w:pPr>
        <w:tabs>
          <w:tab w:val="num" w:pos="4831"/>
        </w:tabs>
        <w:ind w:left="4831"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26" w15:restartNumberingAfterBreak="0">
    <w:nsid w:val="4216146B"/>
    <w:multiLevelType w:val="hybridMultilevel"/>
    <w:tmpl w:val="20768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C83166"/>
    <w:multiLevelType w:val="hybridMultilevel"/>
    <w:tmpl w:val="8C5C3B12"/>
    <w:lvl w:ilvl="0" w:tplc="FADA096A">
      <w:numFmt w:val="bullet"/>
      <w:lvlText w:val="-"/>
      <w:lvlJc w:val="left"/>
      <w:pPr>
        <w:ind w:left="1440" w:hanging="360"/>
      </w:pPr>
      <w:rPr>
        <w:rFonts w:ascii="Calibri" w:eastAsia="Times New Roman"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42EC2A09"/>
    <w:multiLevelType w:val="hybridMultilevel"/>
    <w:tmpl w:val="9954C1E0"/>
    <w:lvl w:ilvl="0" w:tplc="F16AF0D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64465EE"/>
    <w:multiLevelType w:val="hybridMultilevel"/>
    <w:tmpl w:val="5158EC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1F11FC"/>
    <w:multiLevelType w:val="hybridMultilevel"/>
    <w:tmpl w:val="3160BAC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D7D76A7"/>
    <w:multiLevelType w:val="hybridMultilevel"/>
    <w:tmpl w:val="7D22E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B8658D"/>
    <w:multiLevelType w:val="hybridMultilevel"/>
    <w:tmpl w:val="457AA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3A4165"/>
    <w:multiLevelType w:val="hybridMultilevel"/>
    <w:tmpl w:val="2160E63A"/>
    <w:lvl w:ilvl="0" w:tplc="0410000F">
      <w:start w:val="1"/>
      <w:numFmt w:val="decimal"/>
      <w:lvlText w:val="%1."/>
      <w:lvlJc w:val="left"/>
      <w:pPr>
        <w:ind w:left="720" w:hanging="360"/>
      </w:pPr>
    </w:lvl>
    <w:lvl w:ilvl="1" w:tplc="F6606C8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C39347C"/>
    <w:multiLevelType w:val="hybridMultilevel"/>
    <w:tmpl w:val="79F888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08639FA"/>
    <w:multiLevelType w:val="hybridMultilevel"/>
    <w:tmpl w:val="F746FC6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60B37725"/>
    <w:multiLevelType w:val="hybridMultilevel"/>
    <w:tmpl w:val="3DEE6634"/>
    <w:lvl w:ilvl="0" w:tplc="565A1E1A">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1537C1E"/>
    <w:multiLevelType w:val="hybridMultilevel"/>
    <w:tmpl w:val="D9E26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7870369"/>
    <w:multiLevelType w:val="singleLevel"/>
    <w:tmpl w:val="A18CF372"/>
    <w:lvl w:ilvl="0">
      <w:start w:val="1"/>
      <w:numFmt w:val="lowerLetter"/>
      <w:pStyle w:val="Testonormale"/>
      <w:lvlText w:val="%1)"/>
      <w:lvlJc w:val="left"/>
      <w:pPr>
        <w:tabs>
          <w:tab w:val="num" w:pos="720"/>
        </w:tabs>
        <w:ind w:left="720" w:hanging="360"/>
      </w:pPr>
      <w:rPr>
        <w:rFonts w:hint="default"/>
      </w:rPr>
    </w:lvl>
  </w:abstractNum>
  <w:abstractNum w:abstractNumId="39" w15:restartNumberingAfterBreak="0">
    <w:nsid w:val="6A2D0224"/>
    <w:multiLevelType w:val="hybridMultilevel"/>
    <w:tmpl w:val="B6487AC6"/>
    <w:lvl w:ilvl="0" w:tplc="04100001">
      <w:start w:val="1"/>
      <w:numFmt w:val="bullet"/>
      <w:lvlText w:val=""/>
      <w:lvlJc w:val="left"/>
      <w:pPr>
        <w:ind w:left="1490" w:hanging="360"/>
      </w:pPr>
      <w:rPr>
        <w:rFonts w:ascii="Symbol" w:hAnsi="Symbol"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40" w15:restartNumberingAfterBreak="0">
    <w:nsid w:val="6DC1438A"/>
    <w:multiLevelType w:val="hybridMultilevel"/>
    <w:tmpl w:val="75FCCAB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225583F"/>
    <w:multiLevelType w:val="hybridMultilevel"/>
    <w:tmpl w:val="4E4AF70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2" w15:restartNumberingAfterBreak="0">
    <w:nsid w:val="74077B98"/>
    <w:multiLevelType w:val="hybridMultilevel"/>
    <w:tmpl w:val="8BDE4D36"/>
    <w:lvl w:ilvl="0" w:tplc="0410000D">
      <w:start w:val="1"/>
      <w:numFmt w:val="bullet"/>
      <w:lvlText w:val=""/>
      <w:lvlJc w:val="left"/>
      <w:pPr>
        <w:ind w:left="2136" w:hanging="360"/>
      </w:pPr>
      <w:rPr>
        <w:rFonts w:ascii="Wingdings" w:hAnsi="Wingdings" w:hint="default"/>
        <w:b w:val="0"/>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3" w15:restartNumberingAfterBreak="0">
    <w:nsid w:val="743C7F23"/>
    <w:multiLevelType w:val="hybridMultilevel"/>
    <w:tmpl w:val="554EE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5C60714"/>
    <w:multiLevelType w:val="hybridMultilevel"/>
    <w:tmpl w:val="9D60004C"/>
    <w:lvl w:ilvl="0" w:tplc="6C88039C">
      <w:start w:val="1"/>
      <w:numFmt w:val="bullet"/>
      <w:lvlText w:val=""/>
      <w:lvlJc w:val="left"/>
      <w:pPr>
        <w:tabs>
          <w:tab w:val="num" w:pos="964"/>
        </w:tabs>
        <w:ind w:left="964" w:hanging="397"/>
      </w:pPr>
      <w:rPr>
        <w:rFonts w:ascii="Symbol" w:hAnsi="Symbol" w:hint="default"/>
        <w:color w:val="auto"/>
      </w:rPr>
    </w:lvl>
    <w:lvl w:ilvl="1" w:tplc="61D485B4">
      <w:start w:val="1"/>
      <w:numFmt w:val="bullet"/>
      <w:lvlText w:val="o"/>
      <w:lvlJc w:val="left"/>
      <w:pPr>
        <w:tabs>
          <w:tab w:val="num" w:pos="1440"/>
        </w:tabs>
        <w:ind w:left="1440" w:hanging="360"/>
      </w:pPr>
      <w:rPr>
        <w:rFonts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800B36"/>
    <w:multiLevelType w:val="multilevel"/>
    <w:tmpl w:val="5590F4CC"/>
    <w:lvl w:ilvl="0">
      <w:start w:val="1"/>
      <w:numFmt w:val="upperRoman"/>
      <w:pStyle w:val="titoli"/>
      <w:suff w:val="space"/>
      <w:lvlText w:val="Titolo %1"/>
      <w:lvlJc w:val="left"/>
      <w:pPr>
        <w:ind w:left="4537" w:firstLine="0"/>
      </w:pPr>
      <w:rPr>
        <w:rFonts w:ascii="Times New Roman" w:hAnsi="Times New Roman" w:hint="default"/>
        <w:b/>
        <w:i w:val="0"/>
        <w:sz w:val="24"/>
      </w:rPr>
    </w:lvl>
    <w:lvl w:ilvl="1">
      <w:start w:val="1"/>
      <w:numFmt w:val="decimal"/>
      <w:pStyle w:val="capitoli"/>
      <w:suff w:val="space"/>
      <w:lvlText w:val="Capitolo %2"/>
      <w:lvlJc w:val="left"/>
      <w:pPr>
        <w:ind w:left="0" w:firstLine="0"/>
      </w:pPr>
      <w:rPr>
        <w:rFonts w:ascii="Times New Roman" w:hAnsi="Times New Roman" w:hint="default"/>
        <w:b/>
        <w:i w:val="0"/>
        <w:sz w:val="24"/>
      </w:rPr>
    </w:lvl>
    <w:lvl w:ilvl="2">
      <w:start w:val="1"/>
      <w:numFmt w:val="decimal"/>
      <w:lvlRestart w:val="0"/>
      <w:pStyle w:val="numarticoli"/>
      <w:suff w:val="space"/>
      <w:lvlText w:val="Articolo %3"/>
      <w:lvlJc w:val="left"/>
      <w:pPr>
        <w:ind w:left="2552" w:firstLine="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pStyle w:val="nomearticoli"/>
      <w:suff w:val="nothing"/>
      <w:lvlText w:val=""/>
      <w:lvlJc w:val="center"/>
      <w:pPr>
        <w:ind w:left="0" w:firstLine="0"/>
      </w:pPr>
      <w:rPr>
        <w:rFonts w:hint="default"/>
      </w:rPr>
    </w:lvl>
    <w:lvl w:ilvl="4">
      <w:start w:val="1"/>
      <w:numFmt w:val="decimal"/>
      <w:pStyle w:val="commi"/>
      <w:lvlText w:val="%3.%5"/>
      <w:lvlJc w:val="left"/>
      <w:pPr>
        <w:tabs>
          <w:tab w:val="num" w:pos="567"/>
        </w:tabs>
        <w:ind w:left="567" w:hanging="567"/>
      </w:pPr>
      <w:rPr>
        <w:rFonts w:hint="default"/>
        <w:b w:val="0"/>
        <w:color w:val="auto"/>
      </w:rPr>
    </w:lvl>
    <w:lvl w:ilvl="5">
      <w:start w:val="1"/>
      <w:numFmt w:val="lowerLetter"/>
      <w:pStyle w:val="elencoarabo"/>
      <w:lvlText w:val="%6)"/>
      <w:lvlJc w:val="left"/>
      <w:pPr>
        <w:tabs>
          <w:tab w:val="num" w:pos="1277"/>
        </w:tabs>
        <w:ind w:left="1277" w:hanging="567"/>
      </w:pPr>
      <w:rPr>
        <w:rFonts w:hint="default"/>
      </w:rPr>
    </w:lvl>
    <w:lvl w:ilvl="6">
      <w:start w:val="1"/>
      <w:numFmt w:val="lowerRoman"/>
      <w:pStyle w:val="elencoromano"/>
      <w:lvlText w:val="%7)"/>
      <w:lvlJc w:val="left"/>
      <w:pPr>
        <w:tabs>
          <w:tab w:val="num" w:pos="1854"/>
        </w:tabs>
        <w:ind w:left="1418" w:hanging="284"/>
      </w:pPr>
      <w:rPr>
        <w:rFonts w:hint="default"/>
      </w:rPr>
    </w:lvl>
    <w:lvl w:ilvl="7">
      <w:start w:val="1"/>
      <w:numFmt w:val="decimal"/>
      <w:pStyle w:val="elenconumeri"/>
      <w:lvlText w:val="%8)"/>
      <w:lvlJc w:val="left"/>
      <w:pPr>
        <w:tabs>
          <w:tab w:val="num" w:pos="1494"/>
        </w:tabs>
        <w:ind w:left="1418" w:hanging="284"/>
      </w:pPr>
      <w:rPr>
        <w:rFonts w:hint="default"/>
      </w:rPr>
    </w:lvl>
    <w:lvl w:ilvl="8">
      <w:start w:val="1"/>
      <w:numFmt w:val="none"/>
      <w:lvlText w:val=""/>
      <w:lvlJc w:val="left"/>
      <w:pPr>
        <w:tabs>
          <w:tab w:val="num" w:pos="1584"/>
        </w:tabs>
        <w:ind w:left="1584" w:hanging="1584"/>
      </w:pPr>
      <w:rPr>
        <w:rFonts w:hint="default"/>
      </w:rPr>
    </w:lvl>
  </w:abstractNum>
  <w:abstractNum w:abstractNumId="46" w15:restartNumberingAfterBreak="0">
    <w:nsid w:val="7D5C731F"/>
    <w:multiLevelType w:val="hybridMultilevel"/>
    <w:tmpl w:val="61626E22"/>
    <w:lvl w:ilvl="0" w:tplc="565A1E1A">
      <w:start w:val="1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E8B7943"/>
    <w:multiLevelType w:val="hybridMultilevel"/>
    <w:tmpl w:val="BD36634A"/>
    <w:lvl w:ilvl="0" w:tplc="04100005">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25"/>
  </w:num>
  <w:num w:numId="2">
    <w:abstractNumId w:val="27"/>
  </w:num>
  <w:num w:numId="3">
    <w:abstractNumId w:val="36"/>
  </w:num>
  <w:num w:numId="4">
    <w:abstractNumId w:val="19"/>
  </w:num>
  <w:num w:numId="5">
    <w:abstractNumId w:val="46"/>
  </w:num>
  <w:num w:numId="6">
    <w:abstractNumId w:val="47"/>
  </w:num>
  <w:num w:numId="7">
    <w:abstractNumId w:val="12"/>
  </w:num>
  <w:num w:numId="8">
    <w:abstractNumId w:val="21"/>
  </w:num>
  <w:num w:numId="9">
    <w:abstractNumId w:val="42"/>
  </w:num>
  <w:num w:numId="10">
    <w:abstractNumId w:val="9"/>
  </w:num>
  <w:num w:numId="11">
    <w:abstractNumId w:val="23"/>
  </w:num>
  <w:num w:numId="12">
    <w:abstractNumId w:val="24"/>
  </w:num>
  <w:num w:numId="13">
    <w:abstractNumId w:val="2"/>
  </w:num>
  <w:num w:numId="14">
    <w:abstractNumId w:val="38"/>
  </w:num>
  <w:num w:numId="15">
    <w:abstractNumId w:val="44"/>
  </w:num>
  <w:num w:numId="16">
    <w:abstractNumId w:val="25"/>
  </w:num>
  <w:num w:numId="17">
    <w:abstractNumId w:val="39"/>
  </w:num>
  <w:num w:numId="18">
    <w:abstractNumId w:val="13"/>
  </w:num>
  <w:num w:numId="19">
    <w:abstractNumId w:val="17"/>
  </w:num>
  <w:num w:numId="20">
    <w:abstractNumId w:val="31"/>
  </w:num>
  <w:num w:numId="21">
    <w:abstractNumId w:val="25"/>
  </w:num>
  <w:num w:numId="22">
    <w:abstractNumId w:val="45"/>
  </w:num>
  <w:num w:numId="23">
    <w:abstractNumId w:val="6"/>
  </w:num>
  <w:num w:numId="24">
    <w:abstractNumId w:val="35"/>
  </w:num>
  <w:num w:numId="25">
    <w:abstractNumId w:val="32"/>
  </w:num>
  <w:num w:numId="26">
    <w:abstractNumId w:val="25"/>
  </w:num>
  <w:num w:numId="27">
    <w:abstractNumId w:val="34"/>
  </w:num>
  <w:num w:numId="28">
    <w:abstractNumId w:val="18"/>
  </w:num>
  <w:num w:numId="29">
    <w:abstractNumId w:val="1"/>
  </w:num>
  <w:num w:numId="30">
    <w:abstractNumId w:val="22"/>
  </w:num>
  <w:num w:numId="31">
    <w:abstractNumId w:val="16"/>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5"/>
    <w:lvlOverride w:ilvl="0">
      <w:startOverride w:val="1"/>
    </w:lvlOverride>
  </w:num>
  <w:num w:numId="43">
    <w:abstractNumId w:val="3"/>
  </w:num>
  <w:num w:numId="44">
    <w:abstractNumId w:val="25"/>
  </w:num>
  <w:num w:numId="45">
    <w:abstractNumId w:val="25"/>
  </w:num>
  <w:num w:numId="46">
    <w:abstractNumId w:val="28"/>
  </w:num>
  <w:num w:numId="47">
    <w:abstractNumId w:val="25"/>
  </w:num>
  <w:num w:numId="48">
    <w:abstractNumId w:val="25"/>
  </w:num>
  <w:num w:numId="49">
    <w:abstractNumId w:val="25"/>
  </w:num>
  <w:num w:numId="50">
    <w:abstractNumId w:val="25"/>
  </w:num>
  <w:num w:numId="51">
    <w:abstractNumId w:val="25"/>
  </w:num>
  <w:num w:numId="52">
    <w:abstractNumId w:val="25"/>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num>
  <w:num w:numId="55">
    <w:abstractNumId w:val="25"/>
  </w:num>
  <w:num w:numId="56">
    <w:abstractNumId w:val="29"/>
  </w:num>
  <w:num w:numId="57">
    <w:abstractNumId w:val="4"/>
  </w:num>
  <w:num w:numId="58">
    <w:abstractNumId w:val="10"/>
  </w:num>
  <w:num w:numId="59">
    <w:abstractNumId w:val="8"/>
  </w:num>
  <w:num w:numId="60">
    <w:abstractNumId w:val="25"/>
  </w:num>
  <w:num w:numId="61">
    <w:abstractNumId w:val="25"/>
  </w:num>
  <w:num w:numId="62">
    <w:abstractNumId w:val="25"/>
  </w:num>
  <w:num w:numId="63">
    <w:abstractNumId w:val="25"/>
  </w:num>
  <w:num w:numId="64">
    <w:abstractNumId w:val="25"/>
  </w:num>
  <w:num w:numId="65">
    <w:abstractNumId w:val="25"/>
  </w:num>
  <w:num w:numId="66">
    <w:abstractNumId w:val="25"/>
  </w:num>
  <w:num w:numId="67">
    <w:abstractNumId w:val="25"/>
  </w:num>
  <w:num w:numId="68">
    <w:abstractNumId w:val="25"/>
  </w:num>
  <w:num w:numId="69">
    <w:abstractNumId w:val="25"/>
  </w:num>
  <w:num w:numId="70">
    <w:abstractNumId w:val="25"/>
  </w:num>
  <w:num w:numId="71">
    <w:abstractNumId w:val="25"/>
  </w:num>
  <w:num w:numId="72">
    <w:abstractNumId w:val="0"/>
  </w:num>
  <w:num w:numId="73">
    <w:abstractNumId w:val="25"/>
  </w:num>
  <w:num w:numId="74">
    <w:abstractNumId w:val="25"/>
  </w:num>
  <w:num w:numId="75">
    <w:abstractNumId w:val="25"/>
  </w:num>
  <w:num w:numId="76">
    <w:abstractNumId w:val="25"/>
  </w:num>
  <w:num w:numId="77">
    <w:abstractNumId w:val="25"/>
  </w:num>
  <w:num w:numId="78">
    <w:abstractNumId w:val="25"/>
  </w:num>
  <w:num w:numId="79">
    <w:abstractNumId w:val="25"/>
  </w:num>
  <w:num w:numId="80">
    <w:abstractNumId w:val="25"/>
  </w:num>
  <w:num w:numId="81">
    <w:abstractNumId w:val="25"/>
  </w:num>
  <w:num w:numId="82">
    <w:abstractNumId w:val="25"/>
  </w:num>
  <w:num w:numId="83">
    <w:abstractNumId w:val="25"/>
  </w:num>
  <w:num w:numId="84">
    <w:abstractNumId w:val="25"/>
  </w:num>
  <w:num w:numId="85">
    <w:abstractNumId w:val="25"/>
  </w:num>
  <w:num w:numId="86">
    <w:abstractNumId w:val="25"/>
  </w:num>
  <w:num w:numId="87">
    <w:abstractNumId w:val="25"/>
  </w:num>
  <w:num w:numId="88">
    <w:abstractNumId w:val="25"/>
  </w:num>
  <w:num w:numId="89">
    <w:abstractNumId w:val="25"/>
  </w:num>
  <w:num w:numId="90">
    <w:abstractNumId w:val="25"/>
  </w:num>
  <w:num w:numId="91">
    <w:abstractNumId w:val="25"/>
  </w:num>
  <w:num w:numId="92">
    <w:abstractNumId w:val="25"/>
  </w:num>
  <w:num w:numId="93">
    <w:abstractNumId w:val="25"/>
  </w:num>
  <w:num w:numId="94">
    <w:abstractNumId w:val="25"/>
  </w:num>
  <w:num w:numId="95">
    <w:abstractNumId w:val="25"/>
  </w:num>
  <w:num w:numId="96">
    <w:abstractNumId w:val="25"/>
  </w:num>
  <w:num w:numId="97">
    <w:abstractNumId w:val="25"/>
  </w:num>
  <w:num w:numId="98">
    <w:abstractNumId w:val="25"/>
  </w:num>
  <w:num w:numId="99">
    <w:abstractNumId w:val="25"/>
  </w:num>
  <w:num w:numId="100">
    <w:abstractNumId w:val="25"/>
  </w:num>
  <w:num w:numId="101">
    <w:abstractNumId w:val="25"/>
  </w:num>
  <w:num w:numId="102">
    <w:abstractNumId w:val="43"/>
  </w:num>
  <w:num w:numId="103">
    <w:abstractNumId w:val="33"/>
  </w:num>
  <w:num w:numId="104">
    <w:abstractNumId w:val="40"/>
  </w:num>
  <w:num w:numId="105">
    <w:abstractNumId w:val="37"/>
  </w:num>
  <w:num w:numId="106">
    <w:abstractNumId w:val="14"/>
  </w:num>
  <w:num w:numId="107">
    <w:abstractNumId w:val="41"/>
  </w:num>
  <w:num w:numId="1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5"/>
  </w:num>
  <w:num w:numId="110">
    <w:abstractNumId w:val="20"/>
  </w:num>
  <w:num w:numId="111">
    <w:abstractNumId w:val="30"/>
  </w:num>
  <w:num w:numId="112">
    <w:abstractNumId w:val="15"/>
  </w:num>
  <w:num w:numId="113">
    <w:abstractNumId w:val="11"/>
  </w:num>
  <w:num w:numId="114">
    <w:abstractNumId w:val="26"/>
  </w:num>
  <w:num w:numId="115">
    <w:abstractNumId w:val="25"/>
  </w:num>
  <w:num w:numId="116">
    <w:abstractNumId w:val="7"/>
  </w:num>
  <w:num w:numId="117">
    <w:abstractNumId w:val="2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81"/>
    <w:rsid w:val="00000BD6"/>
    <w:rsid w:val="00000C52"/>
    <w:rsid w:val="00001870"/>
    <w:rsid w:val="000030BE"/>
    <w:rsid w:val="00003D43"/>
    <w:rsid w:val="00005ECC"/>
    <w:rsid w:val="000061DE"/>
    <w:rsid w:val="00006BEE"/>
    <w:rsid w:val="00010165"/>
    <w:rsid w:val="00012829"/>
    <w:rsid w:val="00013C33"/>
    <w:rsid w:val="00013C81"/>
    <w:rsid w:val="000206A5"/>
    <w:rsid w:val="00020DD0"/>
    <w:rsid w:val="00021453"/>
    <w:rsid w:val="00021F42"/>
    <w:rsid w:val="00023553"/>
    <w:rsid w:val="0002445F"/>
    <w:rsid w:val="00026264"/>
    <w:rsid w:val="00030F1C"/>
    <w:rsid w:val="00031C84"/>
    <w:rsid w:val="00033174"/>
    <w:rsid w:val="00033377"/>
    <w:rsid w:val="00033386"/>
    <w:rsid w:val="00034FA2"/>
    <w:rsid w:val="00035FBD"/>
    <w:rsid w:val="0003644F"/>
    <w:rsid w:val="00036F2E"/>
    <w:rsid w:val="00040587"/>
    <w:rsid w:val="0004185F"/>
    <w:rsid w:val="00042396"/>
    <w:rsid w:val="000430FB"/>
    <w:rsid w:val="000436F8"/>
    <w:rsid w:val="000452C0"/>
    <w:rsid w:val="000456CE"/>
    <w:rsid w:val="00045BAF"/>
    <w:rsid w:val="000479A7"/>
    <w:rsid w:val="00053467"/>
    <w:rsid w:val="000542E0"/>
    <w:rsid w:val="000543FF"/>
    <w:rsid w:val="00055622"/>
    <w:rsid w:val="0005675A"/>
    <w:rsid w:val="00060609"/>
    <w:rsid w:val="00061800"/>
    <w:rsid w:val="00062D12"/>
    <w:rsid w:val="000632BC"/>
    <w:rsid w:val="00063A85"/>
    <w:rsid w:val="00065EFF"/>
    <w:rsid w:val="00066914"/>
    <w:rsid w:val="00067330"/>
    <w:rsid w:val="00067D5E"/>
    <w:rsid w:val="00067D93"/>
    <w:rsid w:val="00070AEF"/>
    <w:rsid w:val="0007160F"/>
    <w:rsid w:val="000725C5"/>
    <w:rsid w:val="00074E72"/>
    <w:rsid w:val="000759EF"/>
    <w:rsid w:val="00076547"/>
    <w:rsid w:val="000767C1"/>
    <w:rsid w:val="000822EF"/>
    <w:rsid w:val="000844EA"/>
    <w:rsid w:val="000853C7"/>
    <w:rsid w:val="00090F95"/>
    <w:rsid w:val="00091246"/>
    <w:rsid w:val="00093CF6"/>
    <w:rsid w:val="00093E9A"/>
    <w:rsid w:val="000A2542"/>
    <w:rsid w:val="000A33F8"/>
    <w:rsid w:val="000A4113"/>
    <w:rsid w:val="000A444D"/>
    <w:rsid w:val="000A758A"/>
    <w:rsid w:val="000B1939"/>
    <w:rsid w:val="000B2A9B"/>
    <w:rsid w:val="000B2D42"/>
    <w:rsid w:val="000B6A4E"/>
    <w:rsid w:val="000B6D7E"/>
    <w:rsid w:val="000B7281"/>
    <w:rsid w:val="000B79A2"/>
    <w:rsid w:val="000C18D3"/>
    <w:rsid w:val="000C6469"/>
    <w:rsid w:val="000C7A2C"/>
    <w:rsid w:val="000D1EA9"/>
    <w:rsid w:val="000D533B"/>
    <w:rsid w:val="000D6AF0"/>
    <w:rsid w:val="000E10D2"/>
    <w:rsid w:val="000E1847"/>
    <w:rsid w:val="000E1AE7"/>
    <w:rsid w:val="000E39CC"/>
    <w:rsid w:val="000E51DF"/>
    <w:rsid w:val="000E5FE2"/>
    <w:rsid w:val="000E632A"/>
    <w:rsid w:val="000F1987"/>
    <w:rsid w:val="000F1EED"/>
    <w:rsid w:val="000F204B"/>
    <w:rsid w:val="000F2C3E"/>
    <w:rsid w:val="000F30B2"/>
    <w:rsid w:val="000F49AC"/>
    <w:rsid w:val="000F5A01"/>
    <w:rsid w:val="000F6189"/>
    <w:rsid w:val="000F64CC"/>
    <w:rsid w:val="000F7D0C"/>
    <w:rsid w:val="001001E2"/>
    <w:rsid w:val="00100623"/>
    <w:rsid w:val="00101091"/>
    <w:rsid w:val="00106438"/>
    <w:rsid w:val="001066AC"/>
    <w:rsid w:val="00107339"/>
    <w:rsid w:val="001076AF"/>
    <w:rsid w:val="00107E0D"/>
    <w:rsid w:val="001158E0"/>
    <w:rsid w:val="0011715C"/>
    <w:rsid w:val="00120500"/>
    <w:rsid w:val="00120731"/>
    <w:rsid w:val="00121E4C"/>
    <w:rsid w:val="00123D43"/>
    <w:rsid w:val="00125CA9"/>
    <w:rsid w:val="00131398"/>
    <w:rsid w:val="00131C05"/>
    <w:rsid w:val="00136456"/>
    <w:rsid w:val="00137CF7"/>
    <w:rsid w:val="00137D4F"/>
    <w:rsid w:val="00140A35"/>
    <w:rsid w:val="001418EE"/>
    <w:rsid w:val="001423C5"/>
    <w:rsid w:val="00143216"/>
    <w:rsid w:val="00144A4D"/>
    <w:rsid w:val="0014582D"/>
    <w:rsid w:val="00146C9A"/>
    <w:rsid w:val="00146EEF"/>
    <w:rsid w:val="001511C1"/>
    <w:rsid w:val="00152211"/>
    <w:rsid w:val="001539C8"/>
    <w:rsid w:val="00154716"/>
    <w:rsid w:val="00154FEE"/>
    <w:rsid w:val="00156523"/>
    <w:rsid w:val="00157160"/>
    <w:rsid w:val="00157EB6"/>
    <w:rsid w:val="00161A44"/>
    <w:rsid w:val="00162996"/>
    <w:rsid w:val="001637FC"/>
    <w:rsid w:val="00167240"/>
    <w:rsid w:val="00167929"/>
    <w:rsid w:val="001705F0"/>
    <w:rsid w:val="00170662"/>
    <w:rsid w:val="00170B72"/>
    <w:rsid w:val="00176E32"/>
    <w:rsid w:val="001776F0"/>
    <w:rsid w:val="00177E5F"/>
    <w:rsid w:val="001818B6"/>
    <w:rsid w:val="0018574D"/>
    <w:rsid w:val="001870ED"/>
    <w:rsid w:val="0019078B"/>
    <w:rsid w:val="0019142E"/>
    <w:rsid w:val="00191492"/>
    <w:rsid w:val="00191716"/>
    <w:rsid w:val="00191909"/>
    <w:rsid w:val="00191A47"/>
    <w:rsid w:val="0019205D"/>
    <w:rsid w:val="001920B2"/>
    <w:rsid w:val="00192E86"/>
    <w:rsid w:val="00194E8F"/>
    <w:rsid w:val="001972DD"/>
    <w:rsid w:val="001A1508"/>
    <w:rsid w:val="001A2039"/>
    <w:rsid w:val="001A2E02"/>
    <w:rsid w:val="001A6658"/>
    <w:rsid w:val="001A6FD0"/>
    <w:rsid w:val="001A7856"/>
    <w:rsid w:val="001B1CF3"/>
    <w:rsid w:val="001B2546"/>
    <w:rsid w:val="001B325F"/>
    <w:rsid w:val="001B5FD2"/>
    <w:rsid w:val="001B7E6B"/>
    <w:rsid w:val="001C1585"/>
    <w:rsid w:val="001C23A5"/>
    <w:rsid w:val="001C24E1"/>
    <w:rsid w:val="001C3620"/>
    <w:rsid w:val="001C399F"/>
    <w:rsid w:val="001C4415"/>
    <w:rsid w:val="001C58C7"/>
    <w:rsid w:val="001C58E2"/>
    <w:rsid w:val="001C691A"/>
    <w:rsid w:val="001D0257"/>
    <w:rsid w:val="001D0993"/>
    <w:rsid w:val="001D0A31"/>
    <w:rsid w:val="001D1ADA"/>
    <w:rsid w:val="001D239A"/>
    <w:rsid w:val="001D3568"/>
    <w:rsid w:val="001D487A"/>
    <w:rsid w:val="001E03B4"/>
    <w:rsid w:val="001E03D4"/>
    <w:rsid w:val="001E0CDF"/>
    <w:rsid w:val="001E1184"/>
    <w:rsid w:val="001E3DCF"/>
    <w:rsid w:val="001E44C5"/>
    <w:rsid w:val="001E4F26"/>
    <w:rsid w:val="001F0234"/>
    <w:rsid w:val="001F0C0A"/>
    <w:rsid w:val="001F1179"/>
    <w:rsid w:val="001F2580"/>
    <w:rsid w:val="001F35AC"/>
    <w:rsid w:val="001F4775"/>
    <w:rsid w:val="001F613C"/>
    <w:rsid w:val="001F6735"/>
    <w:rsid w:val="001F69D3"/>
    <w:rsid w:val="001F742C"/>
    <w:rsid w:val="00200E5F"/>
    <w:rsid w:val="002024FD"/>
    <w:rsid w:val="00202B7E"/>
    <w:rsid w:val="00203904"/>
    <w:rsid w:val="00204FAE"/>
    <w:rsid w:val="00205D86"/>
    <w:rsid w:val="002070F4"/>
    <w:rsid w:val="002106A7"/>
    <w:rsid w:val="00210755"/>
    <w:rsid w:val="00211A02"/>
    <w:rsid w:val="0021227F"/>
    <w:rsid w:val="002143EA"/>
    <w:rsid w:val="00215AA2"/>
    <w:rsid w:val="002165A9"/>
    <w:rsid w:val="0022075D"/>
    <w:rsid w:val="0022198E"/>
    <w:rsid w:val="002222A5"/>
    <w:rsid w:val="00222771"/>
    <w:rsid w:val="002230BF"/>
    <w:rsid w:val="002238D5"/>
    <w:rsid w:val="00224082"/>
    <w:rsid w:val="002262E7"/>
    <w:rsid w:val="002264FD"/>
    <w:rsid w:val="00231194"/>
    <w:rsid w:val="002311C4"/>
    <w:rsid w:val="00231606"/>
    <w:rsid w:val="0023332F"/>
    <w:rsid w:val="00233D52"/>
    <w:rsid w:val="00233E44"/>
    <w:rsid w:val="002350B7"/>
    <w:rsid w:val="00235121"/>
    <w:rsid w:val="00235D13"/>
    <w:rsid w:val="00236E2D"/>
    <w:rsid w:val="0023763A"/>
    <w:rsid w:val="0024042C"/>
    <w:rsid w:val="0024236B"/>
    <w:rsid w:val="00243F7A"/>
    <w:rsid w:val="0024404F"/>
    <w:rsid w:val="00244590"/>
    <w:rsid w:val="00251D43"/>
    <w:rsid w:val="002520AF"/>
    <w:rsid w:val="00252180"/>
    <w:rsid w:val="00253A3A"/>
    <w:rsid w:val="00253D8A"/>
    <w:rsid w:val="00253DB9"/>
    <w:rsid w:val="00257AA3"/>
    <w:rsid w:val="00257ECD"/>
    <w:rsid w:val="00260AC7"/>
    <w:rsid w:val="00261847"/>
    <w:rsid w:val="002626FE"/>
    <w:rsid w:val="0026283A"/>
    <w:rsid w:val="00264277"/>
    <w:rsid w:val="00265018"/>
    <w:rsid w:val="0026529A"/>
    <w:rsid w:val="00265513"/>
    <w:rsid w:val="00266D20"/>
    <w:rsid w:val="00267E9E"/>
    <w:rsid w:val="002713BD"/>
    <w:rsid w:val="00271538"/>
    <w:rsid w:val="002716DE"/>
    <w:rsid w:val="00280280"/>
    <w:rsid w:val="0028361B"/>
    <w:rsid w:val="00283669"/>
    <w:rsid w:val="00285DFC"/>
    <w:rsid w:val="0028657B"/>
    <w:rsid w:val="00286F9C"/>
    <w:rsid w:val="002872D8"/>
    <w:rsid w:val="00290346"/>
    <w:rsid w:val="00291617"/>
    <w:rsid w:val="00291640"/>
    <w:rsid w:val="002931B5"/>
    <w:rsid w:val="00294250"/>
    <w:rsid w:val="002A0171"/>
    <w:rsid w:val="002A3122"/>
    <w:rsid w:val="002B06E2"/>
    <w:rsid w:val="002B1A65"/>
    <w:rsid w:val="002B1A76"/>
    <w:rsid w:val="002B3180"/>
    <w:rsid w:val="002B33CC"/>
    <w:rsid w:val="002B3A2E"/>
    <w:rsid w:val="002B439F"/>
    <w:rsid w:val="002B703E"/>
    <w:rsid w:val="002B7F53"/>
    <w:rsid w:val="002C0742"/>
    <w:rsid w:val="002C102E"/>
    <w:rsid w:val="002C206A"/>
    <w:rsid w:val="002C3BBE"/>
    <w:rsid w:val="002C4424"/>
    <w:rsid w:val="002C4A5F"/>
    <w:rsid w:val="002C4AC3"/>
    <w:rsid w:val="002C529C"/>
    <w:rsid w:val="002C5E88"/>
    <w:rsid w:val="002C675C"/>
    <w:rsid w:val="002D2FC5"/>
    <w:rsid w:val="002D332F"/>
    <w:rsid w:val="002D36EB"/>
    <w:rsid w:val="002D455F"/>
    <w:rsid w:val="002D51B8"/>
    <w:rsid w:val="002D7980"/>
    <w:rsid w:val="002E0210"/>
    <w:rsid w:val="002E2358"/>
    <w:rsid w:val="002E2D49"/>
    <w:rsid w:val="002E513A"/>
    <w:rsid w:val="002F0519"/>
    <w:rsid w:val="002F063E"/>
    <w:rsid w:val="002F435B"/>
    <w:rsid w:val="002F5AA0"/>
    <w:rsid w:val="002F7F7C"/>
    <w:rsid w:val="003018AA"/>
    <w:rsid w:val="00304BCC"/>
    <w:rsid w:val="00305479"/>
    <w:rsid w:val="00306025"/>
    <w:rsid w:val="00310243"/>
    <w:rsid w:val="003102EC"/>
    <w:rsid w:val="00312D7A"/>
    <w:rsid w:val="00312EE6"/>
    <w:rsid w:val="00313B12"/>
    <w:rsid w:val="0031673A"/>
    <w:rsid w:val="003200EA"/>
    <w:rsid w:val="003212E3"/>
    <w:rsid w:val="00322EBB"/>
    <w:rsid w:val="003232CE"/>
    <w:rsid w:val="00325803"/>
    <w:rsid w:val="00325FC2"/>
    <w:rsid w:val="00326406"/>
    <w:rsid w:val="0032674E"/>
    <w:rsid w:val="00330E7D"/>
    <w:rsid w:val="00331C18"/>
    <w:rsid w:val="003330B4"/>
    <w:rsid w:val="00336035"/>
    <w:rsid w:val="00337224"/>
    <w:rsid w:val="00337965"/>
    <w:rsid w:val="0034005B"/>
    <w:rsid w:val="0034191C"/>
    <w:rsid w:val="003435E4"/>
    <w:rsid w:val="00345151"/>
    <w:rsid w:val="00346710"/>
    <w:rsid w:val="00350D99"/>
    <w:rsid w:val="003511DD"/>
    <w:rsid w:val="003515C4"/>
    <w:rsid w:val="003540AD"/>
    <w:rsid w:val="00356C90"/>
    <w:rsid w:val="00357082"/>
    <w:rsid w:val="00357973"/>
    <w:rsid w:val="003618A9"/>
    <w:rsid w:val="00361963"/>
    <w:rsid w:val="00361AB2"/>
    <w:rsid w:val="00362093"/>
    <w:rsid w:val="00362CE2"/>
    <w:rsid w:val="00366E6F"/>
    <w:rsid w:val="003742E7"/>
    <w:rsid w:val="00374317"/>
    <w:rsid w:val="00374A79"/>
    <w:rsid w:val="00375306"/>
    <w:rsid w:val="0037649F"/>
    <w:rsid w:val="003771FA"/>
    <w:rsid w:val="00377CBF"/>
    <w:rsid w:val="00380823"/>
    <w:rsid w:val="003818B4"/>
    <w:rsid w:val="00384A89"/>
    <w:rsid w:val="003877C4"/>
    <w:rsid w:val="003905F9"/>
    <w:rsid w:val="003933F8"/>
    <w:rsid w:val="00393406"/>
    <w:rsid w:val="00394629"/>
    <w:rsid w:val="00394A1E"/>
    <w:rsid w:val="00396F35"/>
    <w:rsid w:val="003A29ED"/>
    <w:rsid w:val="003A4924"/>
    <w:rsid w:val="003A4B97"/>
    <w:rsid w:val="003A57D5"/>
    <w:rsid w:val="003A6986"/>
    <w:rsid w:val="003A72D0"/>
    <w:rsid w:val="003A7A6B"/>
    <w:rsid w:val="003B078C"/>
    <w:rsid w:val="003B100B"/>
    <w:rsid w:val="003B287B"/>
    <w:rsid w:val="003C1122"/>
    <w:rsid w:val="003C2791"/>
    <w:rsid w:val="003C2ED0"/>
    <w:rsid w:val="003C389B"/>
    <w:rsid w:val="003C4678"/>
    <w:rsid w:val="003C49C2"/>
    <w:rsid w:val="003C4A07"/>
    <w:rsid w:val="003C5C51"/>
    <w:rsid w:val="003C5FE3"/>
    <w:rsid w:val="003C6AD3"/>
    <w:rsid w:val="003D0100"/>
    <w:rsid w:val="003D097A"/>
    <w:rsid w:val="003D0C73"/>
    <w:rsid w:val="003D1A8F"/>
    <w:rsid w:val="003D4199"/>
    <w:rsid w:val="003E069B"/>
    <w:rsid w:val="003E080F"/>
    <w:rsid w:val="003E336F"/>
    <w:rsid w:val="003E5E65"/>
    <w:rsid w:val="003E62EC"/>
    <w:rsid w:val="003E6665"/>
    <w:rsid w:val="003E6B39"/>
    <w:rsid w:val="003E7C6A"/>
    <w:rsid w:val="003F03B4"/>
    <w:rsid w:val="003F1852"/>
    <w:rsid w:val="003F1A4F"/>
    <w:rsid w:val="003F6842"/>
    <w:rsid w:val="004004BC"/>
    <w:rsid w:val="004008A4"/>
    <w:rsid w:val="00400F24"/>
    <w:rsid w:val="004028F3"/>
    <w:rsid w:val="00405CBA"/>
    <w:rsid w:val="00405DF4"/>
    <w:rsid w:val="00405F47"/>
    <w:rsid w:val="004122C8"/>
    <w:rsid w:val="00414201"/>
    <w:rsid w:val="00414D6C"/>
    <w:rsid w:val="00420D27"/>
    <w:rsid w:val="00422050"/>
    <w:rsid w:val="00425690"/>
    <w:rsid w:val="004258AF"/>
    <w:rsid w:val="004264A7"/>
    <w:rsid w:val="0043039C"/>
    <w:rsid w:val="00430711"/>
    <w:rsid w:val="00431F78"/>
    <w:rsid w:val="0043260B"/>
    <w:rsid w:val="00432985"/>
    <w:rsid w:val="004350B2"/>
    <w:rsid w:val="0043591C"/>
    <w:rsid w:val="00436136"/>
    <w:rsid w:val="00443D64"/>
    <w:rsid w:val="00447D8F"/>
    <w:rsid w:val="004508A3"/>
    <w:rsid w:val="00451229"/>
    <w:rsid w:val="00452273"/>
    <w:rsid w:val="004533C1"/>
    <w:rsid w:val="00453958"/>
    <w:rsid w:val="0045445C"/>
    <w:rsid w:val="0045454E"/>
    <w:rsid w:val="004545CD"/>
    <w:rsid w:val="00456630"/>
    <w:rsid w:val="00457018"/>
    <w:rsid w:val="00462E35"/>
    <w:rsid w:val="0046331D"/>
    <w:rsid w:val="004638A7"/>
    <w:rsid w:val="00466590"/>
    <w:rsid w:val="00466FEB"/>
    <w:rsid w:val="00467996"/>
    <w:rsid w:val="00472067"/>
    <w:rsid w:val="0047253D"/>
    <w:rsid w:val="004726CC"/>
    <w:rsid w:val="00473A5C"/>
    <w:rsid w:val="004743D5"/>
    <w:rsid w:val="0047461F"/>
    <w:rsid w:val="00476876"/>
    <w:rsid w:val="004778CA"/>
    <w:rsid w:val="00481B90"/>
    <w:rsid w:val="004827E7"/>
    <w:rsid w:val="0048384D"/>
    <w:rsid w:val="00483FCA"/>
    <w:rsid w:val="004841BD"/>
    <w:rsid w:val="004913DC"/>
    <w:rsid w:val="004918BA"/>
    <w:rsid w:val="00491E2C"/>
    <w:rsid w:val="004932E5"/>
    <w:rsid w:val="0049499C"/>
    <w:rsid w:val="00497CA3"/>
    <w:rsid w:val="004A0711"/>
    <w:rsid w:val="004A0FD3"/>
    <w:rsid w:val="004A123A"/>
    <w:rsid w:val="004A3C84"/>
    <w:rsid w:val="004A66B5"/>
    <w:rsid w:val="004B0EB5"/>
    <w:rsid w:val="004B2D5E"/>
    <w:rsid w:val="004B3104"/>
    <w:rsid w:val="004B3885"/>
    <w:rsid w:val="004B4633"/>
    <w:rsid w:val="004B54F5"/>
    <w:rsid w:val="004B7E4D"/>
    <w:rsid w:val="004C00AE"/>
    <w:rsid w:val="004C0D23"/>
    <w:rsid w:val="004C1838"/>
    <w:rsid w:val="004C2496"/>
    <w:rsid w:val="004C2A01"/>
    <w:rsid w:val="004C2BD4"/>
    <w:rsid w:val="004C3478"/>
    <w:rsid w:val="004C40D9"/>
    <w:rsid w:val="004C772A"/>
    <w:rsid w:val="004D0592"/>
    <w:rsid w:val="004D1106"/>
    <w:rsid w:val="004D20A4"/>
    <w:rsid w:val="004D28E7"/>
    <w:rsid w:val="004D346B"/>
    <w:rsid w:val="004D3F59"/>
    <w:rsid w:val="004D4024"/>
    <w:rsid w:val="004D42B8"/>
    <w:rsid w:val="004D66F5"/>
    <w:rsid w:val="004D6DFC"/>
    <w:rsid w:val="004E243A"/>
    <w:rsid w:val="004E6462"/>
    <w:rsid w:val="004E790D"/>
    <w:rsid w:val="004F0840"/>
    <w:rsid w:val="004F0C45"/>
    <w:rsid w:val="004F2BD3"/>
    <w:rsid w:val="004F3245"/>
    <w:rsid w:val="004F5029"/>
    <w:rsid w:val="004F55C4"/>
    <w:rsid w:val="004F6CFF"/>
    <w:rsid w:val="004F6EBB"/>
    <w:rsid w:val="00500BAB"/>
    <w:rsid w:val="005014CE"/>
    <w:rsid w:val="005014DD"/>
    <w:rsid w:val="00503CDB"/>
    <w:rsid w:val="0050418C"/>
    <w:rsid w:val="005053D3"/>
    <w:rsid w:val="00505FEC"/>
    <w:rsid w:val="005060A7"/>
    <w:rsid w:val="00506531"/>
    <w:rsid w:val="00506A44"/>
    <w:rsid w:val="00511CCF"/>
    <w:rsid w:val="00512D0D"/>
    <w:rsid w:val="00514C30"/>
    <w:rsid w:val="005160C5"/>
    <w:rsid w:val="005161E1"/>
    <w:rsid w:val="005162A6"/>
    <w:rsid w:val="00517144"/>
    <w:rsid w:val="00517189"/>
    <w:rsid w:val="00517CE7"/>
    <w:rsid w:val="00521085"/>
    <w:rsid w:val="005229B6"/>
    <w:rsid w:val="00526A55"/>
    <w:rsid w:val="00530407"/>
    <w:rsid w:val="005316ED"/>
    <w:rsid w:val="00535864"/>
    <w:rsid w:val="00535B59"/>
    <w:rsid w:val="005376FB"/>
    <w:rsid w:val="00537D75"/>
    <w:rsid w:val="0054000D"/>
    <w:rsid w:val="00540AE1"/>
    <w:rsid w:val="00541811"/>
    <w:rsid w:val="00541A1A"/>
    <w:rsid w:val="00541F0F"/>
    <w:rsid w:val="00542494"/>
    <w:rsid w:val="0054351D"/>
    <w:rsid w:val="00543AED"/>
    <w:rsid w:val="00543E59"/>
    <w:rsid w:val="00544729"/>
    <w:rsid w:val="00545781"/>
    <w:rsid w:val="00546EC6"/>
    <w:rsid w:val="005518DB"/>
    <w:rsid w:val="00551E5D"/>
    <w:rsid w:val="00556226"/>
    <w:rsid w:val="00557703"/>
    <w:rsid w:val="00557A35"/>
    <w:rsid w:val="0056280C"/>
    <w:rsid w:val="00564F24"/>
    <w:rsid w:val="00566505"/>
    <w:rsid w:val="00571257"/>
    <w:rsid w:val="00571762"/>
    <w:rsid w:val="005732FB"/>
    <w:rsid w:val="0057520E"/>
    <w:rsid w:val="00575A71"/>
    <w:rsid w:val="00577BAF"/>
    <w:rsid w:val="00577D77"/>
    <w:rsid w:val="0058164D"/>
    <w:rsid w:val="00582ADA"/>
    <w:rsid w:val="0058498D"/>
    <w:rsid w:val="0059023A"/>
    <w:rsid w:val="00590C7E"/>
    <w:rsid w:val="0059133A"/>
    <w:rsid w:val="0059162A"/>
    <w:rsid w:val="00592FD4"/>
    <w:rsid w:val="00594C60"/>
    <w:rsid w:val="00595041"/>
    <w:rsid w:val="0059708B"/>
    <w:rsid w:val="005A0221"/>
    <w:rsid w:val="005A20A5"/>
    <w:rsid w:val="005A2A54"/>
    <w:rsid w:val="005A34D6"/>
    <w:rsid w:val="005A3CDB"/>
    <w:rsid w:val="005A7539"/>
    <w:rsid w:val="005A7C87"/>
    <w:rsid w:val="005B0E79"/>
    <w:rsid w:val="005B0E7C"/>
    <w:rsid w:val="005B344C"/>
    <w:rsid w:val="005B4259"/>
    <w:rsid w:val="005B44A1"/>
    <w:rsid w:val="005B600E"/>
    <w:rsid w:val="005B63DF"/>
    <w:rsid w:val="005B652B"/>
    <w:rsid w:val="005C2952"/>
    <w:rsid w:val="005C2C05"/>
    <w:rsid w:val="005C52F3"/>
    <w:rsid w:val="005C735C"/>
    <w:rsid w:val="005D2364"/>
    <w:rsid w:val="005D26B8"/>
    <w:rsid w:val="005D4C3D"/>
    <w:rsid w:val="005D4E44"/>
    <w:rsid w:val="005D58A8"/>
    <w:rsid w:val="005D6D88"/>
    <w:rsid w:val="005D6F6A"/>
    <w:rsid w:val="005D7EF8"/>
    <w:rsid w:val="005E0905"/>
    <w:rsid w:val="005E1C0D"/>
    <w:rsid w:val="005E308A"/>
    <w:rsid w:val="005E497B"/>
    <w:rsid w:val="005E5065"/>
    <w:rsid w:val="005E506A"/>
    <w:rsid w:val="005E5128"/>
    <w:rsid w:val="005F0ACA"/>
    <w:rsid w:val="005F11BE"/>
    <w:rsid w:val="005F4030"/>
    <w:rsid w:val="005F403E"/>
    <w:rsid w:val="005F5FA5"/>
    <w:rsid w:val="005F5FD5"/>
    <w:rsid w:val="005F7AB3"/>
    <w:rsid w:val="00602BEF"/>
    <w:rsid w:val="006040A9"/>
    <w:rsid w:val="00604A93"/>
    <w:rsid w:val="00604D2F"/>
    <w:rsid w:val="00607494"/>
    <w:rsid w:val="006112F6"/>
    <w:rsid w:val="00612205"/>
    <w:rsid w:val="00613504"/>
    <w:rsid w:val="006138E4"/>
    <w:rsid w:val="00621CE6"/>
    <w:rsid w:val="00622307"/>
    <w:rsid w:val="00622B74"/>
    <w:rsid w:val="00623181"/>
    <w:rsid w:val="00624383"/>
    <w:rsid w:val="00626773"/>
    <w:rsid w:val="00626DFF"/>
    <w:rsid w:val="006301FD"/>
    <w:rsid w:val="00632777"/>
    <w:rsid w:val="00634113"/>
    <w:rsid w:val="00636F11"/>
    <w:rsid w:val="00637182"/>
    <w:rsid w:val="006378A3"/>
    <w:rsid w:val="00641B33"/>
    <w:rsid w:val="006433F1"/>
    <w:rsid w:val="00644939"/>
    <w:rsid w:val="006452EC"/>
    <w:rsid w:val="006468E7"/>
    <w:rsid w:val="006531E2"/>
    <w:rsid w:val="00654FD7"/>
    <w:rsid w:val="00655A11"/>
    <w:rsid w:val="0065740A"/>
    <w:rsid w:val="006577BA"/>
    <w:rsid w:val="00660C66"/>
    <w:rsid w:val="006620BC"/>
    <w:rsid w:val="0066220C"/>
    <w:rsid w:val="00662CB1"/>
    <w:rsid w:val="00664696"/>
    <w:rsid w:val="00664F80"/>
    <w:rsid w:val="00670380"/>
    <w:rsid w:val="00675988"/>
    <w:rsid w:val="00677D8D"/>
    <w:rsid w:val="006838E9"/>
    <w:rsid w:val="0068614F"/>
    <w:rsid w:val="006865F6"/>
    <w:rsid w:val="00693B8E"/>
    <w:rsid w:val="00693F08"/>
    <w:rsid w:val="00695B90"/>
    <w:rsid w:val="00695C7C"/>
    <w:rsid w:val="006A15DA"/>
    <w:rsid w:val="006A1C69"/>
    <w:rsid w:val="006A3E21"/>
    <w:rsid w:val="006A4EF5"/>
    <w:rsid w:val="006A59CE"/>
    <w:rsid w:val="006A5C12"/>
    <w:rsid w:val="006A6928"/>
    <w:rsid w:val="006B0546"/>
    <w:rsid w:val="006B162D"/>
    <w:rsid w:val="006B274D"/>
    <w:rsid w:val="006B3484"/>
    <w:rsid w:val="006B3B3A"/>
    <w:rsid w:val="006B5E15"/>
    <w:rsid w:val="006B5F43"/>
    <w:rsid w:val="006C0E8D"/>
    <w:rsid w:val="006C1445"/>
    <w:rsid w:val="006C2EA8"/>
    <w:rsid w:val="006C2F61"/>
    <w:rsid w:val="006C53AD"/>
    <w:rsid w:val="006C661B"/>
    <w:rsid w:val="006C678F"/>
    <w:rsid w:val="006D022C"/>
    <w:rsid w:val="006D0CD4"/>
    <w:rsid w:val="006D0DCF"/>
    <w:rsid w:val="006D1853"/>
    <w:rsid w:val="006D3C04"/>
    <w:rsid w:val="006D3E1A"/>
    <w:rsid w:val="006D63F9"/>
    <w:rsid w:val="006D6859"/>
    <w:rsid w:val="006D6A9D"/>
    <w:rsid w:val="006D7090"/>
    <w:rsid w:val="006D786A"/>
    <w:rsid w:val="006D7D7C"/>
    <w:rsid w:val="006E5D64"/>
    <w:rsid w:val="006E76B2"/>
    <w:rsid w:val="006F111D"/>
    <w:rsid w:val="006F13BF"/>
    <w:rsid w:val="006F4C30"/>
    <w:rsid w:val="006F7714"/>
    <w:rsid w:val="006F7D07"/>
    <w:rsid w:val="00701A9F"/>
    <w:rsid w:val="007027AC"/>
    <w:rsid w:val="00704EE2"/>
    <w:rsid w:val="00707BBB"/>
    <w:rsid w:val="0071129B"/>
    <w:rsid w:val="0071183B"/>
    <w:rsid w:val="0071375A"/>
    <w:rsid w:val="00720A99"/>
    <w:rsid w:val="00721A23"/>
    <w:rsid w:val="00722AD4"/>
    <w:rsid w:val="0072336A"/>
    <w:rsid w:val="00724B21"/>
    <w:rsid w:val="007253B7"/>
    <w:rsid w:val="00726843"/>
    <w:rsid w:val="00726F29"/>
    <w:rsid w:val="007310F1"/>
    <w:rsid w:val="00731F4E"/>
    <w:rsid w:val="007332B6"/>
    <w:rsid w:val="007332F5"/>
    <w:rsid w:val="00737488"/>
    <w:rsid w:val="00741854"/>
    <w:rsid w:val="0074202F"/>
    <w:rsid w:val="00743204"/>
    <w:rsid w:val="007433EC"/>
    <w:rsid w:val="00744D3D"/>
    <w:rsid w:val="0074559F"/>
    <w:rsid w:val="0075105C"/>
    <w:rsid w:val="00753F93"/>
    <w:rsid w:val="0075440C"/>
    <w:rsid w:val="0075480F"/>
    <w:rsid w:val="00755CDE"/>
    <w:rsid w:val="0075609F"/>
    <w:rsid w:val="007621C9"/>
    <w:rsid w:val="00762599"/>
    <w:rsid w:val="00762D27"/>
    <w:rsid w:val="0076322F"/>
    <w:rsid w:val="00763D7E"/>
    <w:rsid w:val="0076552F"/>
    <w:rsid w:val="007656B5"/>
    <w:rsid w:val="00766113"/>
    <w:rsid w:val="007672B8"/>
    <w:rsid w:val="00767E24"/>
    <w:rsid w:val="00770076"/>
    <w:rsid w:val="00770411"/>
    <w:rsid w:val="0077384A"/>
    <w:rsid w:val="00773DFA"/>
    <w:rsid w:val="00776533"/>
    <w:rsid w:val="00776E53"/>
    <w:rsid w:val="00780A6F"/>
    <w:rsid w:val="00781AD1"/>
    <w:rsid w:val="00781D26"/>
    <w:rsid w:val="0078297D"/>
    <w:rsid w:val="00783241"/>
    <w:rsid w:val="00783330"/>
    <w:rsid w:val="00783D4E"/>
    <w:rsid w:val="00786136"/>
    <w:rsid w:val="007863B0"/>
    <w:rsid w:val="007873E6"/>
    <w:rsid w:val="007906D2"/>
    <w:rsid w:val="007909BE"/>
    <w:rsid w:val="007910B9"/>
    <w:rsid w:val="00795BDE"/>
    <w:rsid w:val="007A2157"/>
    <w:rsid w:val="007A268D"/>
    <w:rsid w:val="007A2E8D"/>
    <w:rsid w:val="007A3B20"/>
    <w:rsid w:val="007A3F9E"/>
    <w:rsid w:val="007A5972"/>
    <w:rsid w:val="007A5CD3"/>
    <w:rsid w:val="007A6B0E"/>
    <w:rsid w:val="007A75B6"/>
    <w:rsid w:val="007B26C5"/>
    <w:rsid w:val="007B318D"/>
    <w:rsid w:val="007B3217"/>
    <w:rsid w:val="007B3E94"/>
    <w:rsid w:val="007B495D"/>
    <w:rsid w:val="007B596F"/>
    <w:rsid w:val="007C19A6"/>
    <w:rsid w:val="007C461A"/>
    <w:rsid w:val="007C7571"/>
    <w:rsid w:val="007C7DBC"/>
    <w:rsid w:val="007D1568"/>
    <w:rsid w:val="007D2F91"/>
    <w:rsid w:val="007D3803"/>
    <w:rsid w:val="007D4685"/>
    <w:rsid w:val="007D58E4"/>
    <w:rsid w:val="007D5EAC"/>
    <w:rsid w:val="007D607B"/>
    <w:rsid w:val="007E2CA0"/>
    <w:rsid w:val="007F0320"/>
    <w:rsid w:val="007F1830"/>
    <w:rsid w:val="007F2D79"/>
    <w:rsid w:val="007F5413"/>
    <w:rsid w:val="008011B0"/>
    <w:rsid w:val="00802C81"/>
    <w:rsid w:val="008035E6"/>
    <w:rsid w:val="0080413D"/>
    <w:rsid w:val="00804288"/>
    <w:rsid w:val="00804F1B"/>
    <w:rsid w:val="00806D2B"/>
    <w:rsid w:val="00807663"/>
    <w:rsid w:val="00811E6B"/>
    <w:rsid w:val="008133E4"/>
    <w:rsid w:val="00815315"/>
    <w:rsid w:val="00815850"/>
    <w:rsid w:val="008167D1"/>
    <w:rsid w:val="00817B3C"/>
    <w:rsid w:val="00824540"/>
    <w:rsid w:val="00824EF7"/>
    <w:rsid w:val="00825911"/>
    <w:rsid w:val="00825E5C"/>
    <w:rsid w:val="00825FE1"/>
    <w:rsid w:val="00826B9A"/>
    <w:rsid w:val="00827EA2"/>
    <w:rsid w:val="008315D1"/>
    <w:rsid w:val="00831878"/>
    <w:rsid w:val="00833188"/>
    <w:rsid w:val="00834381"/>
    <w:rsid w:val="00834914"/>
    <w:rsid w:val="00836D73"/>
    <w:rsid w:val="00836D74"/>
    <w:rsid w:val="00837A3C"/>
    <w:rsid w:val="00840069"/>
    <w:rsid w:val="00843225"/>
    <w:rsid w:val="00843692"/>
    <w:rsid w:val="008448D3"/>
    <w:rsid w:val="008457F1"/>
    <w:rsid w:val="0084677E"/>
    <w:rsid w:val="008472F8"/>
    <w:rsid w:val="00850244"/>
    <w:rsid w:val="00851121"/>
    <w:rsid w:val="00851CBA"/>
    <w:rsid w:val="0085365F"/>
    <w:rsid w:val="00854153"/>
    <w:rsid w:val="008569ED"/>
    <w:rsid w:val="008571FF"/>
    <w:rsid w:val="008572CB"/>
    <w:rsid w:val="00857C03"/>
    <w:rsid w:val="00857CAE"/>
    <w:rsid w:val="00860344"/>
    <w:rsid w:val="00860615"/>
    <w:rsid w:val="00860B3A"/>
    <w:rsid w:val="00861735"/>
    <w:rsid w:val="00861B3C"/>
    <w:rsid w:val="008643D6"/>
    <w:rsid w:val="008646E5"/>
    <w:rsid w:val="008646F0"/>
    <w:rsid w:val="00864B53"/>
    <w:rsid w:val="00864C83"/>
    <w:rsid w:val="00864DB9"/>
    <w:rsid w:val="00873685"/>
    <w:rsid w:val="008745E6"/>
    <w:rsid w:val="00877340"/>
    <w:rsid w:val="00882022"/>
    <w:rsid w:val="00882A18"/>
    <w:rsid w:val="00882CB9"/>
    <w:rsid w:val="008846AF"/>
    <w:rsid w:val="00890000"/>
    <w:rsid w:val="00894068"/>
    <w:rsid w:val="00894DEA"/>
    <w:rsid w:val="00894E3E"/>
    <w:rsid w:val="00896FD6"/>
    <w:rsid w:val="008A00F8"/>
    <w:rsid w:val="008A28A8"/>
    <w:rsid w:val="008A5769"/>
    <w:rsid w:val="008A61AB"/>
    <w:rsid w:val="008A7992"/>
    <w:rsid w:val="008B03C9"/>
    <w:rsid w:val="008B0944"/>
    <w:rsid w:val="008B1335"/>
    <w:rsid w:val="008B1E39"/>
    <w:rsid w:val="008B21A3"/>
    <w:rsid w:val="008B2581"/>
    <w:rsid w:val="008B3477"/>
    <w:rsid w:val="008B4197"/>
    <w:rsid w:val="008B4713"/>
    <w:rsid w:val="008B74D6"/>
    <w:rsid w:val="008C0CC9"/>
    <w:rsid w:val="008C1A59"/>
    <w:rsid w:val="008C35FB"/>
    <w:rsid w:val="008C434C"/>
    <w:rsid w:val="008C46BC"/>
    <w:rsid w:val="008C54C6"/>
    <w:rsid w:val="008C57E0"/>
    <w:rsid w:val="008C661F"/>
    <w:rsid w:val="008C6895"/>
    <w:rsid w:val="008C7257"/>
    <w:rsid w:val="008D05C3"/>
    <w:rsid w:val="008D2600"/>
    <w:rsid w:val="008D550A"/>
    <w:rsid w:val="008D5538"/>
    <w:rsid w:val="008E22C3"/>
    <w:rsid w:val="008E6617"/>
    <w:rsid w:val="008E742E"/>
    <w:rsid w:val="008F49AE"/>
    <w:rsid w:val="008F71A6"/>
    <w:rsid w:val="008F7541"/>
    <w:rsid w:val="00901511"/>
    <w:rsid w:val="00903B62"/>
    <w:rsid w:val="009069BA"/>
    <w:rsid w:val="00906F4F"/>
    <w:rsid w:val="00907D08"/>
    <w:rsid w:val="00910C21"/>
    <w:rsid w:val="009110B4"/>
    <w:rsid w:val="00911C0C"/>
    <w:rsid w:val="00911F12"/>
    <w:rsid w:val="009130B1"/>
    <w:rsid w:val="00914E34"/>
    <w:rsid w:val="00915551"/>
    <w:rsid w:val="00917DA0"/>
    <w:rsid w:val="0092066F"/>
    <w:rsid w:val="0092134B"/>
    <w:rsid w:val="00924242"/>
    <w:rsid w:val="00926451"/>
    <w:rsid w:val="0092658B"/>
    <w:rsid w:val="00927FEF"/>
    <w:rsid w:val="00931CA4"/>
    <w:rsid w:val="0093517A"/>
    <w:rsid w:val="00935494"/>
    <w:rsid w:val="00935AC7"/>
    <w:rsid w:val="009365C5"/>
    <w:rsid w:val="00940693"/>
    <w:rsid w:val="00940B18"/>
    <w:rsid w:val="00943A71"/>
    <w:rsid w:val="009451D3"/>
    <w:rsid w:val="009470C2"/>
    <w:rsid w:val="009471D9"/>
    <w:rsid w:val="00951178"/>
    <w:rsid w:val="009514AD"/>
    <w:rsid w:val="00951FEF"/>
    <w:rsid w:val="00953F59"/>
    <w:rsid w:val="00954414"/>
    <w:rsid w:val="00956C3C"/>
    <w:rsid w:val="00957E25"/>
    <w:rsid w:val="0096048D"/>
    <w:rsid w:val="0096100A"/>
    <w:rsid w:val="009614AE"/>
    <w:rsid w:val="009623E3"/>
    <w:rsid w:val="0096244B"/>
    <w:rsid w:val="0096462B"/>
    <w:rsid w:val="00964D47"/>
    <w:rsid w:val="00964E93"/>
    <w:rsid w:val="00965FF1"/>
    <w:rsid w:val="00967E6C"/>
    <w:rsid w:val="009705DD"/>
    <w:rsid w:val="009709B4"/>
    <w:rsid w:val="00971685"/>
    <w:rsid w:val="00980B9F"/>
    <w:rsid w:val="00982C99"/>
    <w:rsid w:val="00986AB1"/>
    <w:rsid w:val="0099053E"/>
    <w:rsid w:val="00990651"/>
    <w:rsid w:val="0099740C"/>
    <w:rsid w:val="00997DDE"/>
    <w:rsid w:val="009A18C9"/>
    <w:rsid w:val="009A29D3"/>
    <w:rsid w:val="009A2C3F"/>
    <w:rsid w:val="009A2F02"/>
    <w:rsid w:val="009A76C7"/>
    <w:rsid w:val="009A7B66"/>
    <w:rsid w:val="009B03FD"/>
    <w:rsid w:val="009B097F"/>
    <w:rsid w:val="009B4630"/>
    <w:rsid w:val="009B4C1F"/>
    <w:rsid w:val="009B62AC"/>
    <w:rsid w:val="009B7249"/>
    <w:rsid w:val="009C097C"/>
    <w:rsid w:val="009C0BA3"/>
    <w:rsid w:val="009C1171"/>
    <w:rsid w:val="009C1631"/>
    <w:rsid w:val="009C3699"/>
    <w:rsid w:val="009C3C6A"/>
    <w:rsid w:val="009C42F0"/>
    <w:rsid w:val="009C530B"/>
    <w:rsid w:val="009C581C"/>
    <w:rsid w:val="009C7FF4"/>
    <w:rsid w:val="009D1EBE"/>
    <w:rsid w:val="009D2772"/>
    <w:rsid w:val="009D2B77"/>
    <w:rsid w:val="009D6D15"/>
    <w:rsid w:val="009E0537"/>
    <w:rsid w:val="009E0BCA"/>
    <w:rsid w:val="009E159E"/>
    <w:rsid w:val="009E1F35"/>
    <w:rsid w:val="009E541C"/>
    <w:rsid w:val="009E603F"/>
    <w:rsid w:val="009E6FBB"/>
    <w:rsid w:val="009E7335"/>
    <w:rsid w:val="009E7960"/>
    <w:rsid w:val="009F1A73"/>
    <w:rsid w:val="009F2128"/>
    <w:rsid w:val="009F248D"/>
    <w:rsid w:val="009F2969"/>
    <w:rsid w:val="009F3C57"/>
    <w:rsid w:val="009F3D5C"/>
    <w:rsid w:val="009F4EE4"/>
    <w:rsid w:val="009F520D"/>
    <w:rsid w:val="009F7F49"/>
    <w:rsid w:val="00A005E5"/>
    <w:rsid w:val="00A02005"/>
    <w:rsid w:val="00A020BF"/>
    <w:rsid w:val="00A0247A"/>
    <w:rsid w:val="00A04A5B"/>
    <w:rsid w:val="00A07602"/>
    <w:rsid w:val="00A125B6"/>
    <w:rsid w:val="00A12BDC"/>
    <w:rsid w:val="00A13447"/>
    <w:rsid w:val="00A135B8"/>
    <w:rsid w:val="00A1391F"/>
    <w:rsid w:val="00A13933"/>
    <w:rsid w:val="00A14713"/>
    <w:rsid w:val="00A14751"/>
    <w:rsid w:val="00A14A73"/>
    <w:rsid w:val="00A20908"/>
    <w:rsid w:val="00A20CE7"/>
    <w:rsid w:val="00A2161F"/>
    <w:rsid w:val="00A21FDF"/>
    <w:rsid w:val="00A23781"/>
    <w:rsid w:val="00A27C92"/>
    <w:rsid w:val="00A3009D"/>
    <w:rsid w:val="00A30357"/>
    <w:rsid w:val="00A33D60"/>
    <w:rsid w:val="00A34D19"/>
    <w:rsid w:val="00A35985"/>
    <w:rsid w:val="00A368D2"/>
    <w:rsid w:val="00A37B91"/>
    <w:rsid w:val="00A407C7"/>
    <w:rsid w:val="00A41277"/>
    <w:rsid w:val="00A42E52"/>
    <w:rsid w:val="00A42EB3"/>
    <w:rsid w:val="00A43611"/>
    <w:rsid w:val="00A44BD2"/>
    <w:rsid w:val="00A44F80"/>
    <w:rsid w:val="00A46E2B"/>
    <w:rsid w:val="00A472D7"/>
    <w:rsid w:val="00A50124"/>
    <w:rsid w:val="00A523CB"/>
    <w:rsid w:val="00A5251F"/>
    <w:rsid w:val="00A5410F"/>
    <w:rsid w:val="00A605CE"/>
    <w:rsid w:val="00A60C01"/>
    <w:rsid w:val="00A63069"/>
    <w:rsid w:val="00A6442D"/>
    <w:rsid w:val="00A64515"/>
    <w:rsid w:val="00A64DAD"/>
    <w:rsid w:val="00A656F4"/>
    <w:rsid w:val="00A665EB"/>
    <w:rsid w:val="00A67195"/>
    <w:rsid w:val="00A70ED8"/>
    <w:rsid w:val="00A719AF"/>
    <w:rsid w:val="00A71FEB"/>
    <w:rsid w:val="00A72F1A"/>
    <w:rsid w:val="00A73718"/>
    <w:rsid w:val="00A73D45"/>
    <w:rsid w:val="00A75807"/>
    <w:rsid w:val="00A76508"/>
    <w:rsid w:val="00A774EA"/>
    <w:rsid w:val="00A77615"/>
    <w:rsid w:val="00A817BA"/>
    <w:rsid w:val="00A82137"/>
    <w:rsid w:val="00A856D3"/>
    <w:rsid w:val="00A86B4B"/>
    <w:rsid w:val="00A87AC8"/>
    <w:rsid w:val="00A90C24"/>
    <w:rsid w:val="00A91574"/>
    <w:rsid w:val="00A91E97"/>
    <w:rsid w:val="00A930AE"/>
    <w:rsid w:val="00A9364A"/>
    <w:rsid w:val="00A94169"/>
    <w:rsid w:val="00A94BD8"/>
    <w:rsid w:val="00A969ED"/>
    <w:rsid w:val="00AA11DD"/>
    <w:rsid w:val="00AA19B1"/>
    <w:rsid w:val="00AA1BDF"/>
    <w:rsid w:val="00AA313D"/>
    <w:rsid w:val="00AA3BAA"/>
    <w:rsid w:val="00AB0053"/>
    <w:rsid w:val="00AB0B2C"/>
    <w:rsid w:val="00AB1246"/>
    <w:rsid w:val="00AB216A"/>
    <w:rsid w:val="00AB4740"/>
    <w:rsid w:val="00AB49CF"/>
    <w:rsid w:val="00AB539E"/>
    <w:rsid w:val="00AB5A3B"/>
    <w:rsid w:val="00AB5B71"/>
    <w:rsid w:val="00AB61D1"/>
    <w:rsid w:val="00AB729C"/>
    <w:rsid w:val="00AB7F61"/>
    <w:rsid w:val="00AC004E"/>
    <w:rsid w:val="00AC2FD8"/>
    <w:rsid w:val="00AC3192"/>
    <w:rsid w:val="00AC3DB6"/>
    <w:rsid w:val="00AD1540"/>
    <w:rsid w:val="00AD3EAC"/>
    <w:rsid w:val="00AD4AB7"/>
    <w:rsid w:val="00AD4B34"/>
    <w:rsid w:val="00AD5DEA"/>
    <w:rsid w:val="00AE3EB4"/>
    <w:rsid w:val="00AE47BD"/>
    <w:rsid w:val="00AE52D2"/>
    <w:rsid w:val="00AE78C2"/>
    <w:rsid w:val="00AE7E48"/>
    <w:rsid w:val="00AF1CE2"/>
    <w:rsid w:val="00AF297E"/>
    <w:rsid w:val="00AF46AF"/>
    <w:rsid w:val="00AF66F0"/>
    <w:rsid w:val="00AF7733"/>
    <w:rsid w:val="00B0279A"/>
    <w:rsid w:val="00B04034"/>
    <w:rsid w:val="00B04374"/>
    <w:rsid w:val="00B0523D"/>
    <w:rsid w:val="00B07237"/>
    <w:rsid w:val="00B07C66"/>
    <w:rsid w:val="00B10E61"/>
    <w:rsid w:val="00B11BE4"/>
    <w:rsid w:val="00B1201C"/>
    <w:rsid w:val="00B143BC"/>
    <w:rsid w:val="00B15177"/>
    <w:rsid w:val="00B15185"/>
    <w:rsid w:val="00B15D21"/>
    <w:rsid w:val="00B16B43"/>
    <w:rsid w:val="00B22AE2"/>
    <w:rsid w:val="00B2307F"/>
    <w:rsid w:val="00B2655F"/>
    <w:rsid w:val="00B26763"/>
    <w:rsid w:val="00B270E3"/>
    <w:rsid w:val="00B27A35"/>
    <w:rsid w:val="00B309E0"/>
    <w:rsid w:val="00B31507"/>
    <w:rsid w:val="00B3208E"/>
    <w:rsid w:val="00B33BEF"/>
    <w:rsid w:val="00B33C6B"/>
    <w:rsid w:val="00B3496C"/>
    <w:rsid w:val="00B35CED"/>
    <w:rsid w:val="00B400BB"/>
    <w:rsid w:val="00B40AB5"/>
    <w:rsid w:val="00B427F3"/>
    <w:rsid w:val="00B4344B"/>
    <w:rsid w:val="00B4475E"/>
    <w:rsid w:val="00B4628E"/>
    <w:rsid w:val="00B47497"/>
    <w:rsid w:val="00B50532"/>
    <w:rsid w:val="00B511EF"/>
    <w:rsid w:val="00B51298"/>
    <w:rsid w:val="00B51539"/>
    <w:rsid w:val="00B52101"/>
    <w:rsid w:val="00B529CF"/>
    <w:rsid w:val="00B52ACE"/>
    <w:rsid w:val="00B550BD"/>
    <w:rsid w:val="00B56247"/>
    <w:rsid w:val="00B611A6"/>
    <w:rsid w:val="00B61593"/>
    <w:rsid w:val="00B6200A"/>
    <w:rsid w:val="00B6520A"/>
    <w:rsid w:val="00B65383"/>
    <w:rsid w:val="00B67AF6"/>
    <w:rsid w:val="00B70344"/>
    <w:rsid w:val="00B70E34"/>
    <w:rsid w:val="00B72EDB"/>
    <w:rsid w:val="00B740B4"/>
    <w:rsid w:val="00B75C76"/>
    <w:rsid w:val="00B81036"/>
    <w:rsid w:val="00B87714"/>
    <w:rsid w:val="00B90A01"/>
    <w:rsid w:val="00B919B7"/>
    <w:rsid w:val="00B931D4"/>
    <w:rsid w:val="00B935FD"/>
    <w:rsid w:val="00B937FE"/>
    <w:rsid w:val="00B94495"/>
    <w:rsid w:val="00B95417"/>
    <w:rsid w:val="00B95EDA"/>
    <w:rsid w:val="00B95F07"/>
    <w:rsid w:val="00B96095"/>
    <w:rsid w:val="00B964A1"/>
    <w:rsid w:val="00B97862"/>
    <w:rsid w:val="00BA0BD3"/>
    <w:rsid w:val="00BA1603"/>
    <w:rsid w:val="00BA1EA9"/>
    <w:rsid w:val="00BA3342"/>
    <w:rsid w:val="00BA3D6D"/>
    <w:rsid w:val="00BA4488"/>
    <w:rsid w:val="00BA47B4"/>
    <w:rsid w:val="00BA4F18"/>
    <w:rsid w:val="00BA7123"/>
    <w:rsid w:val="00BB141C"/>
    <w:rsid w:val="00BB27B8"/>
    <w:rsid w:val="00BB3AC6"/>
    <w:rsid w:val="00BB57C0"/>
    <w:rsid w:val="00BB753A"/>
    <w:rsid w:val="00BB79A0"/>
    <w:rsid w:val="00BB7BE2"/>
    <w:rsid w:val="00BC0287"/>
    <w:rsid w:val="00BC0A1D"/>
    <w:rsid w:val="00BC1E8A"/>
    <w:rsid w:val="00BC2278"/>
    <w:rsid w:val="00BC7CBD"/>
    <w:rsid w:val="00BD03C4"/>
    <w:rsid w:val="00BD24E3"/>
    <w:rsid w:val="00BD4048"/>
    <w:rsid w:val="00BD51D3"/>
    <w:rsid w:val="00BD754A"/>
    <w:rsid w:val="00BE1993"/>
    <w:rsid w:val="00BE211A"/>
    <w:rsid w:val="00BE25FB"/>
    <w:rsid w:val="00BE3DFA"/>
    <w:rsid w:val="00BE453B"/>
    <w:rsid w:val="00BE598E"/>
    <w:rsid w:val="00BE5FC1"/>
    <w:rsid w:val="00BE640C"/>
    <w:rsid w:val="00BE745D"/>
    <w:rsid w:val="00BF0FEC"/>
    <w:rsid w:val="00BF14AE"/>
    <w:rsid w:val="00BF20FE"/>
    <w:rsid w:val="00BF2923"/>
    <w:rsid w:val="00BF314F"/>
    <w:rsid w:val="00BF387A"/>
    <w:rsid w:val="00BF4631"/>
    <w:rsid w:val="00BF5EFA"/>
    <w:rsid w:val="00BF6F2C"/>
    <w:rsid w:val="00BF7465"/>
    <w:rsid w:val="00C00513"/>
    <w:rsid w:val="00C006FC"/>
    <w:rsid w:val="00C01382"/>
    <w:rsid w:val="00C020E1"/>
    <w:rsid w:val="00C0257A"/>
    <w:rsid w:val="00C0325F"/>
    <w:rsid w:val="00C04131"/>
    <w:rsid w:val="00C05A3D"/>
    <w:rsid w:val="00C062D8"/>
    <w:rsid w:val="00C06499"/>
    <w:rsid w:val="00C13F44"/>
    <w:rsid w:val="00C14D22"/>
    <w:rsid w:val="00C1687A"/>
    <w:rsid w:val="00C17387"/>
    <w:rsid w:val="00C176CF"/>
    <w:rsid w:val="00C20121"/>
    <w:rsid w:val="00C218FF"/>
    <w:rsid w:val="00C22704"/>
    <w:rsid w:val="00C22B24"/>
    <w:rsid w:val="00C24DA9"/>
    <w:rsid w:val="00C25FF9"/>
    <w:rsid w:val="00C268E6"/>
    <w:rsid w:val="00C3066D"/>
    <w:rsid w:val="00C3116B"/>
    <w:rsid w:val="00C31F78"/>
    <w:rsid w:val="00C33520"/>
    <w:rsid w:val="00C33E86"/>
    <w:rsid w:val="00C34D23"/>
    <w:rsid w:val="00C35191"/>
    <w:rsid w:val="00C36320"/>
    <w:rsid w:val="00C36CE8"/>
    <w:rsid w:val="00C425D1"/>
    <w:rsid w:val="00C43618"/>
    <w:rsid w:val="00C436E4"/>
    <w:rsid w:val="00C4440D"/>
    <w:rsid w:val="00C44673"/>
    <w:rsid w:val="00C44BA9"/>
    <w:rsid w:val="00C457DE"/>
    <w:rsid w:val="00C469AE"/>
    <w:rsid w:val="00C46BCE"/>
    <w:rsid w:val="00C50469"/>
    <w:rsid w:val="00C507B7"/>
    <w:rsid w:val="00C50D23"/>
    <w:rsid w:val="00C51DBF"/>
    <w:rsid w:val="00C527E7"/>
    <w:rsid w:val="00C54253"/>
    <w:rsid w:val="00C615AC"/>
    <w:rsid w:val="00C633FB"/>
    <w:rsid w:val="00C66230"/>
    <w:rsid w:val="00C66E4A"/>
    <w:rsid w:val="00C67211"/>
    <w:rsid w:val="00C70731"/>
    <w:rsid w:val="00C70815"/>
    <w:rsid w:val="00C7138B"/>
    <w:rsid w:val="00C71AD9"/>
    <w:rsid w:val="00C73550"/>
    <w:rsid w:val="00C76930"/>
    <w:rsid w:val="00C80EE3"/>
    <w:rsid w:val="00C81344"/>
    <w:rsid w:val="00C81858"/>
    <w:rsid w:val="00C81B7D"/>
    <w:rsid w:val="00C81D43"/>
    <w:rsid w:val="00C83FF5"/>
    <w:rsid w:val="00C847C2"/>
    <w:rsid w:val="00C8655D"/>
    <w:rsid w:val="00C868CD"/>
    <w:rsid w:val="00C878D6"/>
    <w:rsid w:val="00C87E4E"/>
    <w:rsid w:val="00C90584"/>
    <w:rsid w:val="00C92DE5"/>
    <w:rsid w:val="00C93896"/>
    <w:rsid w:val="00C9682B"/>
    <w:rsid w:val="00C97110"/>
    <w:rsid w:val="00CA777F"/>
    <w:rsid w:val="00CB0314"/>
    <w:rsid w:val="00CB1D12"/>
    <w:rsid w:val="00CB2168"/>
    <w:rsid w:val="00CB3EE3"/>
    <w:rsid w:val="00CB5769"/>
    <w:rsid w:val="00CB5D93"/>
    <w:rsid w:val="00CB61BC"/>
    <w:rsid w:val="00CB6D7B"/>
    <w:rsid w:val="00CC09E4"/>
    <w:rsid w:val="00CC11F6"/>
    <w:rsid w:val="00CC4FC7"/>
    <w:rsid w:val="00CC6CB4"/>
    <w:rsid w:val="00CD0730"/>
    <w:rsid w:val="00CD2F33"/>
    <w:rsid w:val="00CD4904"/>
    <w:rsid w:val="00CD5387"/>
    <w:rsid w:val="00CE0638"/>
    <w:rsid w:val="00CE1364"/>
    <w:rsid w:val="00CE3D8E"/>
    <w:rsid w:val="00CE554D"/>
    <w:rsid w:val="00CE60C0"/>
    <w:rsid w:val="00CE6605"/>
    <w:rsid w:val="00CE6CD1"/>
    <w:rsid w:val="00CE7164"/>
    <w:rsid w:val="00CE756C"/>
    <w:rsid w:val="00CE7C5D"/>
    <w:rsid w:val="00CF1F6F"/>
    <w:rsid w:val="00CF2472"/>
    <w:rsid w:val="00CF3168"/>
    <w:rsid w:val="00CF647E"/>
    <w:rsid w:val="00CF70E7"/>
    <w:rsid w:val="00D03DD2"/>
    <w:rsid w:val="00D05826"/>
    <w:rsid w:val="00D05B9D"/>
    <w:rsid w:val="00D07414"/>
    <w:rsid w:val="00D11E26"/>
    <w:rsid w:val="00D14D4A"/>
    <w:rsid w:val="00D15F98"/>
    <w:rsid w:val="00D16054"/>
    <w:rsid w:val="00D162E2"/>
    <w:rsid w:val="00D167FD"/>
    <w:rsid w:val="00D1719E"/>
    <w:rsid w:val="00D2055C"/>
    <w:rsid w:val="00D21155"/>
    <w:rsid w:val="00D224A1"/>
    <w:rsid w:val="00D22FC4"/>
    <w:rsid w:val="00D23BD5"/>
    <w:rsid w:val="00D24266"/>
    <w:rsid w:val="00D25428"/>
    <w:rsid w:val="00D2582F"/>
    <w:rsid w:val="00D27C9B"/>
    <w:rsid w:val="00D31610"/>
    <w:rsid w:val="00D325D0"/>
    <w:rsid w:val="00D3431A"/>
    <w:rsid w:val="00D35682"/>
    <w:rsid w:val="00D3617A"/>
    <w:rsid w:val="00D3719C"/>
    <w:rsid w:val="00D37690"/>
    <w:rsid w:val="00D378ED"/>
    <w:rsid w:val="00D37F8E"/>
    <w:rsid w:val="00D4024F"/>
    <w:rsid w:val="00D42821"/>
    <w:rsid w:val="00D42999"/>
    <w:rsid w:val="00D454CB"/>
    <w:rsid w:val="00D500FA"/>
    <w:rsid w:val="00D5062F"/>
    <w:rsid w:val="00D512AC"/>
    <w:rsid w:val="00D528E1"/>
    <w:rsid w:val="00D52EDA"/>
    <w:rsid w:val="00D54681"/>
    <w:rsid w:val="00D54AAD"/>
    <w:rsid w:val="00D60ED6"/>
    <w:rsid w:val="00D61B31"/>
    <w:rsid w:val="00D63B51"/>
    <w:rsid w:val="00D677CD"/>
    <w:rsid w:val="00D70061"/>
    <w:rsid w:val="00D70762"/>
    <w:rsid w:val="00D740F0"/>
    <w:rsid w:val="00D74B7D"/>
    <w:rsid w:val="00D75527"/>
    <w:rsid w:val="00D758B4"/>
    <w:rsid w:val="00D75B73"/>
    <w:rsid w:val="00D75BAD"/>
    <w:rsid w:val="00D809ED"/>
    <w:rsid w:val="00D82502"/>
    <w:rsid w:val="00D831A9"/>
    <w:rsid w:val="00D83BEA"/>
    <w:rsid w:val="00D84DB1"/>
    <w:rsid w:val="00D84E00"/>
    <w:rsid w:val="00D8551D"/>
    <w:rsid w:val="00D86C85"/>
    <w:rsid w:val="00D91639"/>
    <w:rsid w:val="00D91E6A"/>
    <w:rsid w:val="00D92D05"/>
    <w:rsid w:val="00D9364A"/>
    <w:rsid w:val="00D9466A"/>
    <w:rsid w:val="00DA23BA"/>
    <w:rsid w:val="00DA2465"/>
    <w:rsid w:val="00DA2F0E"/>
    <w:rsid w:val="00DA3A7C"/>
    <w:rsid w:val="00DA5167"/>
    <w:rsid w:val="00DA573E"/>
    <w:rsid w:val="00DA5C6D"/>
    <w:rsid w:val="00DA6070"/>
    <w:rsid w:val="00DA60C6"/>
    <w:rsid w:val="00DA7175"/>
    <w:rsid w:val="00DA73F4"/>
    <w:rsid w:val="00DA7623"/>
    <w:rsid w:val="00DB16DA"/>
    <w:rsid w:val="00DB264B"/>
    <w:rsid w:val="00DB2A30"/>
    <w:rsid w:val="00DB2E00"/>
    <w:rsid w:val="00DB2FD2"/>
    <w:rsid w:val="00DB46B1"/>
    <w:rsid w:val="00DB7353"/>
    <w:rsid w:val="00DC099E"/>
    <w:rsid w:val="00DC09CE"/>
    <w:rsid w:val="00DC130B"/>
    <w:rsid w:val="00DC20DE"/>
    <w:rsid w:val="00DC282F"/>
    <w:rsid w:val="00DC39A2"/>
    <w:rsid w:val="00DC5CA7"/>
    <w:rsid w:val="00DC67E6"/>
    <w:rsid w:val="00DC74F9"/>
    <w:rsid w:val="00DC7839"/>
    <w:rsid w:val="00DC7C02"/>
    <w:rsid w:val="00DD00CC"/>
    <w:rsid w:val="00DD0FC4"/>
    <w:rsid w:val="00DD168A"/>
    <w:rsid w:val="00DD1EF4"/>
    <w:rsid w:val="00DD2532"/>
    <w:rsid w:val="00DD2791"/>
    <w:rsid w:val="00DD2C63"/>
    <w:rsid w:val="00DD2F22"/>
    <w:rsid w:val="00DD3484"/>
    <w:rsid w:val="00DD38C8"/>
    <w:rsid w:val="00DD4081"/>
    <w:rsid w:val="00DD58AD"/>
    <w:rsid w:val="00DD6488"/>
    <w:rsid w:val="00DE240D"/>
    <w:rsid w:val="00DE348D"/>
    <w:rsid w:val="00DE398B"/>
    <w:rsid w:val="00DE3A0E"/>
    <w:rsid w:val="00DE4CF7"/>
    <w:rsid w:val="00DE4E7D"/>
    <w:rsid w:val="00DE70F0"/>
    <w:rsid w:val="00DF1881"/>
    <w:rsid w:val="00DF27B7"/>
    <w:rsid w:val="00DF2A82"/>
    <w:rsid w:val="00DF577F"/>
    <w:rsid w:val="00DF76C9"/>
    <w:rsid w:val="00E0063B"/>
    <w:rsid w:val="00E012C2"/>
    <w:rsid w:val="00E01434"/>
    <w:rsid w:val="00E017DF"/>
    <w:rsid w:val="00E01E10"/>
    <w:rsid w:val="00E02D18"/>
    <w:rsid w:val="00E02D59"/>
    <w:rsid w:val="00E02F10"/>
    <w:rsid w:val="00E059D3"/>
    <w:rsid w:val="00E06B30"/>
    <w:rsid w:val="00E070F8"/>
    <w:rsid w:val="00E10C22"/>
    <w:rsid w:val="00E11CDF"/>
    <w:rsid w:val="00E11FFD"/>
    <w:rsid w:val="00E13C77"/>
    <w:rsid w:val="00E140B2"/>
    <w:rsid w:val="00E172A4"/>
    <w:rsid w:val="00E20BFE"/>
    <w:rsid w:val="00E23883"/>
    <w:rsid w:val="00E24568"/>
    <w:rsid w:val="00E26AF7"/>
    <w:rsid w:val="00E27740"/>
    <w:rsid w:val="00E31AE1"/>
    <w:rsid w:val="00E325FE"/>
    <w:rsid w:val="00E32C6C"/>
    <w:rsid w:val="00E32F1E"/>
    <w:rsid w:val="00E345F6"/>
    <w:rsid w:val="00E34848"/>
    <w:rsid w:val="00E35782"/>
    <w:rsid w:val="00E37835"/>
    <w:rsid w:val="00E40720"/>
    <w:rsid w:val="00E4085F"/>
    <w:rsid w:val="00E44F5E"/>
    <w:rsid w:val="00E4502B"/>
    <w:rsid w:val="00E503D9"/>
    <w:rsid w:val="00E5128B"/>
    <w:rsid w:val="00E513EC"/>
    <w:rsid w:val="00E516C2"/>
    <w:rsid w:val="00E52E47"/>
    <w:rsid w:val="00E535BE"/>
    <w:rsid w:val="00E568AC"/>
    <w:rsid w:val="00E62480"/>
    <w:rsid w:val="00E624B3"/>
    <w:rsid w:val="00E65C1E"/>
    <w:rsid w:val="00E673CE"/>
    <w:rsid w:val="00E700C5"/>
    <w:rsid w:val="00E72501"/>
    <w:rsid w:val="00E73DB8"/>
    <w:rsid w:val="00E746FB"/>
    <w:rsid w:val="00E7470C"/>
    <w:rsid w:val="00E75113"/>
    <w:rsid w:val="00E75810"/>
    <w:rsid w:val="00E8013F"/>
    <w:rsid w:val="00E81825"/>
    <w:rsid w:val="00E82890"/>
    <w:rsid w:val="00E837DB"/>
    <w:rsid w:val="00E84293"/>
    <w:rsid w:val="00E84F40"/>
    <w:rsid w:val="00E8629B"/>
    <w:rsid w:val="00E87D1F"/>
    <w:rsid w:val="00E91175"/>
    <w:rsid w:val="00E91E4F"/>
    <w:rsid w:val="00E95804"/>
    <w:rsid w:val="00E96E49"/>
    <w:rsid w:val="00E97659"/>
    <w:rsid w:val="00EA1359"/>
    <w:rsid w:val="00EA13BD"/>
    <w:rsid w:val="00EA1558"/>
    <w:rsid w:val="00EA3D9D"/>
    <w:rsid w:val="00EA625A"/>
    <w:rsid w:val="00EA6C43"/>
    <w:rsid w:val="00EA6E79"/>
    <w:rsid w:val="00EB1368"/>
    <w:rsid w:val="00EB1544"/>
    <w:rsid w:val="00EB295A"/>
    <w:rsid w:val="00EB3382"/>
    <w:rsid w:val="00EB4F2B"/>
    <w:rsid w:val="00EB54DE"/>
    <w:rsid w:val="00EB56DD"/>
    <w:rsid w:val="00EB5A06"/>
    <w:rsid w:val="00EB6497"/>
    <w:rsid w:val="00EB652A"/>
    <w:rsid w:val="00EB7B09"/>
    <w:rsid w:val="00EC190D"/>
    <w:rsid w:val="00EC267A"/>
    <w:rsid w:val="00EC2F47"/>
    <w:rsid w:val="00EC38C1"/>
    <w:rsid w:val="00EC4A2A"/>
    <w:rsid w:val="00EC6045"/>
    <w:rsid w:val="00EC6CFE"/>
    <w:rsid w:val="00ED1349"/>
    <w:rsid w:val="00ED16F2"/>
    <w:rsid w:val="00ED393C"/>
    <w:rsid w:val="00ED40E7"/>
    <w:rsid w:val="00ED4E43"/>
    <w:rsid w:val="00ED5976"/>
    <w:rsid w:val="00ED76E9"/>
    <w:rsid w:val="00EE00B1"/>
    <w:rsid w:val="00EE0940"/>
    <w:rsid w:val="00EE0D03"/>
    <w:rsid w:val="00EE38D2"/>
    <w:rsid w:val="00EE4CEA"/>
    <w:rsid w:val="00EE73C6"/>
    <w:rsid w:val="00EF0861"/>
    <w:rsid w:val="00EF1289"/>
    <w:rsid w:val="00EF1D35"/>
    <w:rsid w:val="00EF2D6E"/>
    <w:rsid w:val="00EF4B0D"/>
    <w:rsid w:val="00F00507"/>
    <w:rsid w:val="00F019DC"/>
    <w:rsid w:val="00F02CC5"/>
    <w:rsid w:val="00F0525D"/>
    <w:rsid w:val="00F05C7F"/>
    <w:rsid w:val="00F0628F"/>
    <w:rsid w:val="00F119BB"/>
    <w:rsid w:val="00F11E86"/>
    <w:rsid w:val="00F13E1C"/>
    <w:rsid w:val="00F13FD6"/>
    <w:rsid w:val="00F158A5"/>
    <w:rsid w:val="00F16975"/>
    <w:rsid w:val="00F201EB"/>
    <w:rsid w:val="00F20959"/>
    <w:rsid w:val="00F21028"/>
    <w:rsid w:val="00F211B9"/>
    <w:rsid w:val="00F21D59"/>
    <w:rsid w:val="00F22353"/>
    <w:rsid w:val="00F228C2"/>
    <w:rsid w:val="00F22D93"/>
    <w:rsid w:val="00F255B0"/>
    <w:rsid w:val="00F2600E"/>
    <w:rsid w:val="00F27D51"/>
    <w:rsid w:val="00F3035C"/>
    <w:rsid w:val="00F30B47"/>
    <w:rsid w:val="00F30BBB"/>
    <w:rsid w:val="00F3494F"/>
    <w:rsid w:val="00F35420"/>
    <w:rsid w:val="00F36838"/>
    <w:rsid w:val="00F379B2"/>
    <w:rsid w:val="00F41BD4"/>
    <w:rsid w:val="00F43C0B"/>
    <w:rsid w:val="00F43F96"/>
    <w:rsid w:val="00F47521"/>
    <w:rsid w:val="00F477B9"/>
    <w:rsid w:val="00F51699"/>
    <w:rsid w:val="00F5187A"/>
    <w:rsid w:val="00F51EAE"/>
    <w:rsid w:val="00F52B8E"/>
    <w:rsid w:val="00F531B7"/>
    <w:rsid w:val="00F535AC"/>
    <w:rsid w:val="00F536D8"/>
    <w:rsid w:val="00F53A90"/>
    <w:rsid w:val="00F5488E"/>
    <w:rsid w:val="00F572D1"/>
    <w:rsid w:val="00F572E6"/>
    <w:rsid w:val="00F613AA"/>
    <w:rsid w:val="00F6185D"/>
    <w:rsid w:val="00F62288"/>
    <w:rsid w:val="00F638F6"/>
    <w:rsid w:val="00F63BF2"/>
    <w:rsid w:val="00F651A7"/>
    <w:rsid w:val="00F6614E"/>
    <w:rsid w:val="00F67132"/>
    <w:rsid w:val="00F71EFD"/>
    <w:rsid w:val="00F7224F"/>
    <w:rsid w:val="00F72A54"/>
    <w:rsid w:val="00F72AA3"/>
    <w:rsid w:val="00F72E40"/>
    <w:rsid w:val="00F72EBF"/>
    <w:rsid w:val="00F73322"/>
    <w:rsid w:val="00F73480"/>
    <w:rsid w:val="00F75248"/>
    <w:rsid w:val="00F808DF"/>
    <w:rsid w:val="00F81C7A"/>
    <w:rsid w:val="00F82DD4"/>
    <w:rsid w:val="00F84099"/>
    <w:rsid w:val="00F84E6A"/>
    <w:rsid w:val="00F865A4"/>
    <w:rsid w:val="00F86EFD"/>
    <w:rsid w:val="00F91AD2"/>
    <w:rsid w:val="00F963B1"/>
    <w:rsid w:val="00FA17B0"/>
    <w:rsid w:val="00FA399B"/>
    <w:rsid w:val="00FA6F95"/>
    <w:rsid w:val="00FB060F"/>
    <w:rsid w:val="00FB0F8F"/>
    <w:rsid w:val="00FB117C"/>
    <w:rsid w:val="00FB2B49"/>
    <w:rsid w:val="00FB2EEE"/>
    <w:rsid w:val="00FB382E"/>
    <w:rsid w:val="00FB38DF"/>
    <w:rsid w:val="00FB416C"/>
    <w:rsid w:val="00FB4505"/>
    <w:rsid w:val="00FB5A99"/>
    <w:rsid w:val="00FC13C2"/>
    <w:rsid w:val="00FC1B1E"/>
    <w:rsid w:val="00FC3013"/>
    <w:rsid w:val="00FC39FF"/>
    <w:rsid w:val="00FC4AE1"/>
    <w:rsid w:val="00FC51D1"/>
    <w:rsid w:val="00FC58A4"/>
    <w:rsid w:val="00FC63F2"/>
    <w:rsid w:val="00FC707E"/>
    <w:rsid w:val="00FD53BA"/>
    <w:rsid w:val="00FE40A9"/>
    <w:rsid w:val="00FE4716"/>
    <w:rsid w:val="00FE4B5E"/>
    <w:rsid w:val="00FE4F7F"/>
    <w:rsid w:val="00FE5296"/>
    <w:rsid w:val="00FE668F"/>
    <w:rsid w:val="00FF0B9B"/>
    <w:rsid w:val="00FF0FBB"/>
    <w:rsid w:val="00FF12C0"/>
    <w:rsid w:val="00FF252B"/>
    <w:rsid w:val="00FF2945"/>
    <w:rsid w:val="00FF2FBE"/>
    <w:rsid w:val="00FF3CDF"/>
    <w:rsid w:val="00FF42C6"/>
    <w:rsid w:val="00FF4E3F"/>
    <w:rsid w:val="00FF4FE7"/>
    <w:rsid w:val="00FF5336"/>
    <w:rsid w:val="00FF5906"/>
    <w:rsid w:val="00FF66CD"/>
    <w:rsid w:val="00FF6A01"/>
    <w:rsid w:val="00FF6ECF"/>
    <w:rsid w:val="05E0D162"/>
    <w:rsid w:val="0E5D4040"/>
    <w:rsid w:val="1C27CE40"/>
    <w:rsid w:val="55151C37"/>
    <w:rsid w:val="5D95D499"/>
    <w:rsid w:val="655209CB"/>
    <w:rsid w:val="79C485CB"/>
    <w:rsid w:val="7B4594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5A0D0D"/>
  <w15:chartTrackingRefBased/>
  <w15:docId w15:val="{E49B1802-B434-4E2B-9894-CB25B26A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3406"/>
    <w:pPr>
      <w:jc w:val="both"/>
    </w:pPr>
    <w:rPr>
      <w:sz w:val="24"/>
      <w:szCs w:val="24"/>
    </w:rPr>
  </w:style>
  <w:style w:type="paragraph" w:styleId="Titolo1">
    <w:name w:val="heading 1"/>
    <w:basedOn w:val="Normale"/>
    <w:next w:val="Normale"/>
    <w:qFormat/>
    <w:rsid w:val="003E336F"/>
    <w:pPr>
      <w:keepNext/>
      <w:numPr>
        <w:numId w:val="1"/>
      </w:numPr>
      <w:spacing w:before="120" w:after="120"/>
      <w:outlineLvl w:val="0"/>
    </w:pPr>
    <w:rPr>
      <w:rFonts w:cs="Arial"/>
      <w:b/>
      <w:bCs/>
      <w:kern w:val="32"/>
      <w:sz w:val="26"/>
      <w:szCs w:val="32"/>
    </w:rPr>
  </w:style>
  <w:style w:type="paragraph" w:styleId="Titolo2">
    <w:name w:val="heading 2"/>
    <w:basedOn w:val="Normale"/>
    <w:next w:val="Normale"/>
    <w:qFormat/>
    <w:rsid w:val="00A73718"/>
    <w:pPr>
      <w:keepNext/>
      <w:numPr>
        <w:ilvl w:val="1"/>
        <w:numId w:val="1"/>
      </w:numPr>
      <w:spacing w:before="120" w:after="60"/>
      <w:jc w:val="left"/>
      <w:outlineLvl w:val="1"/>
    </w:pPr>
    <w:rPr>
      <w:rFonts w:cs="Arial"/>
      <w:b/>
      <w:bCs/>
      <w:iCs/>
      <w:lang w:eastAsia="en-GB"/>
    </w:rPr>
  </w:style>
  <w:style w:type="paragraph" w:styleId="Titolo3">
    <w:name w:val="heading 3"/>
    <w:basedOn w:val="Normale"/>
    <w:next w:val="Normale"/>
    <w:link w:val="Titolo3Carattere"/>
    <w:qFormat/>
    <w:rsid w:val="00F613AA"/>
    <w:pPr>
      <w:keepNext/>
      <w:numPr>
        <w:ilvl w:val="2"/>
        <w:numId w:val="1"/>
      </w:numPr>
      <w:spacing w:after="160"/>
      <w:outlineLvl w:val="2"/>
    </w:pPr>
    <w:rPr>
      <w:rFonts w:cs="Arial"/>
      <w:b/>
      <w:bCs/>
      <w:i/>
      <w:lang w:eastAsia="en-GB"/>
    </w:rPr>
  </w:style>
  <w:style w:type="paragraph" w:styleId="Titolo4">
    <w:name w:val="heading 4"/>
    <w:basedOn w:val="Normale"/>
    <w:next w:val="Normale"/>
    <w:qFormat/>
    <w:rsid w:val="007B596F"/>
    <w:pPr>
      <w:keepNext/>
      <w:numPr>
        <w:ilvl w:val="3"/>
        <w:numId w:val="1"/>
      </w:numPr>
      <w:tabs>
        <w:tab w:val="clear" w:pos="864"/>
        <w:tab w:val="num" w:pos="2410"/>
      </w:tabs>
      <w:spacing w:after="120"/>
      <w:ind w:left="2552" w:hanging="1134"/>
      <w:jc w:val="left"/>
      <w:outlineLvl w:val="3"/>
    </w:pPr>
    <w:rPr>
      <w:bCs/>
      <w:i/>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style>
  <w:style w:type="paragraph" w:styleId="Titolo8">
    <w:name w:val="heading 8"/>
    <w:basedOn w:val="Normale"/>
    <w:next w:val="Normale"/>
    <w:qFormat/>
    <w:pPr>
      <w:numPr>
        <w:ilvl w:val="7"/>
        <w:numId w:val="1"/>
      </w:numPr>
      <w:spacing w:before="240" w:after="60"/>
      <w:outlineLvl w:val="7"/>
    </w:pPr>
    <w:rPr>
      <w:i/>
      <w:iCs/>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Corpotesto">
    <w:name w:val="Body Text"/>
    <w:basedOn w:val="Bodytextbase"/>
    <w:semiHidden/>
    <w:pPr>
      <w:spacing w:before="60"/>
    </w:pPr>
  </w:style>
  <w:style w:type="paragraph" w:customStyle="1" w:styleId="Bodytextbase">
    <w:name w:val="Body text base"/>
    <w:basedOn w:val="Normale"/>
    <w:pPr>
      <w:tabs>
        <w:tab w:val="left" w:pos="360"/>
        <w:tab w:val="left" w:pos="720"/>
        <w:tab w:val="left" w:pos="1080"/>
      </w:tabs>
      <w:spacing w:before="120" w:line="288" w:lineRule="auto"/>
    </w:pPr>
    <w:rPr>
      <w:rFonts w:ascii="Arial" w:eastAsia="Times" w:hAnsi="Arial"/>
      <w:sz w:val="20"/>
      <w:szCs w:val="20"/>
      <w:lang w:val="en-GB" w:eastAsia="en-US"/>
    </w:rPr>
  </w:style>
  <w:style w:type="paragraph" w:styleId="Intestazione">
    <w:name w:val="header"/>
    <w:basedOn w:val="Normale"/>
    <w:link w:val="IntestazioneCarattere"/>
    <w:uiPriority w:val="99"/>
    <w:pPr>
      <w:tabs>
        <w:tab w:val="left" w:pos="360"/>
        <w:tab w:val="left" w:pos="720"/>
        <w:tab w:val="left" w:pos="1080"/>
      </w:tabs>
      <w:jc w:val="right"/>
    </w:pPr>
    <w:rPr>
      <w:rFonts w:ascii="Arial" w:eastAsia="Times" w:hAnsi="Arial"/>
      <w:color w:val="7E8B7A"/>
      <w:sz w:val="18"/>
      <w:szCs w:val="20"/>
      <w:lang w:val="en-GB" w:eastAsia="en-US"/>
    </w:rPr>
  </w:style>
  <w:style w:type="paragraph" w:styleId="Pidipagina">
    <w:name w:val="footer"/>
    <w:basedOn w:val="Normale"/>
    <w:link w:val="PidipaginaCarattere"/>
    <w:uiPriority w:val="99"/>
    <w:pPr>
      <w:tabs>
        <w:tab w:val="right" w:pos="7920"/>
      </w:tabs>
    </w:pPr>
    <w:rPr>
      <w:rFonts w:ascii="Arial" w:eastAsia="Times" w:hAnsi="Arial"/>
      <w:color w:val="808080"/>
      <w:sz w:val="18"/>
      <w:szCs w:val="20"/>
      <w:lang w:val="en-GB" w:eastAsia="en-US"/>
    </w:rPr>
  </w:style>
  <w:style w:type="paragraph" w:styleId="Testonotaapidipagina">
    <w:name w:val="footnote text"/>
    <w:basedOn w:val="Normale"/>
    <w:semiHidden/>
    <w:pPr>
      <w:ind w:left="170" w:hanging="170"/>
    </w:pPr>
    <w:rPr>
      <w:rFonts w:eastAsia="Times"/>
      <w:sz w:val="20"/>
      <w:szCs w:val="20"/>
      <w:lang w:val="en-GB" w:eastAsia="en-US"/>
    </w:rPr>
  </w:style>
  <w:style w:type="character" w:styleId="Rimandonotaapidipagina">
    <w:name w:val="footnote reference"/>
    <w:semiHidden/>
    <w:rPr>
      <w:vertAlign w:val="superscript"/>
    </w:rPr>
  </w:style>
  <w:style w:type="paragraph" w:customStyle="1" w:styleId="StyleHeading3NotItalic">
    <w:name w:val="Style Heading 3 + Not Italic"/>
    <w:basedOn w:val="Titolo3"/>
    <w:pPr>
      <w:keepLines/>
      <w:numPr>
        <w:ilvl w:val="0"/>
        <w:numId w:val="0"/>
      </w:numPr>
      <w:tabs>
        <w:tab w:val="left" w:pos="360"/>
        <w:tab w:val="num" w:pos="720"/>
        <w:tab w:val="left" w:pos="1080"/>
      </w:tabs>
      <w:spacing w:before="480" w:after="0"/>
      <w:ind w:left="720" w:hanging="720"/>
    </w:pPr>
    <w:rPr>
      <w:rFonts w:cs="Times New Roman"/>
      <w:i w:val="0"/>
      <w:kern w:val="48"/>
      <w:sz w:val="22"/>
      <w:szCs w:val="20"/>
      <w:lang w:val="en-GB" w:eastAsia="en-US"/>
    </w:rPr>
  </w:style>
  <w:style w:type="character" w:customStyle="1" w:styleId="BodytextbaseChar">
    <w:name w:val="Body text base Char"/>
    <w:rPr>
      <w:rFonts w:ascii="Arial" w:eastAsia="Times" w:hAnsi="Arial"/>
      <w:lang w:val="en-GB" w:eastAsia="en-US" w:bidi="ar-SA"/>
    </w:rPr>
  </w:style>
  <w:style w:type="character" w:customStyle="1" w:styleId="CarattereCarattere1">
    <w:name w:val="Carattere Carattere1"/>
    <w:basedOn w:val="BodytextbaseChar"/>
    <w:rPr>
      <w:rFonts w:ascii="Arial" w:eastAsia="Times" w:hAnsi="Arial"/>
      <w:lang w:val="en-GB" w:eastAsia="en-US" w:bidi="ar-SA"/>
    </w:rPr>
  </w:style>
  <w:style w:type="character" w:customStyle="1" w:styleId="CarattereCarattere">
    <w:name w:val="Carattere Carattere"/>
    <w:rPr>
      <w:rFonts w:eastAsia="Times"/>
      <w:lang w:val="en-GB" w:eastAsia="en-US" w:bidi="ar-SA"/>
    </w:rPr>
  </w:style>
  <w:style w:type="paragraph" w:styleId="NormaleWeb">
    <w:name w:val="Normal (Web)"/>
    <w:basedOn w:val="Normale"/>
    <w:semiHidden/>
    <w:pPr>
      <w:spacing w:before="100" w:after="100"/>
    </w:pPr>
    <w:rPr>
      <w:rFonts w:ascii="Arial Unicode MS" w:eastAsia="Arial Unicode MS" w:hAnsi="Arial Unicode MS"/>
      <w:sz w:val="22"/>
      <w:szCs w:val="20"/>
      <w:lang w:val="en-GB" w:eastAsia="en-GB"/>
    </w:rPr>
  </w:style>
  <w:style w:type="paragraph" w:styleId="Sommario1">
    <w:name w:val="toc 1"/>
    <w:basedOn w:val="Normale"/>
    <w:next w:val="Normale"/>
    <w:autoRedefine/>
    <w:uiPriority w:val="39"/>
    <w:rsid w:val="00BD4048"/>
    <w:pPr>
      <w:tabs>
        <w:tab w:val="right" w:leader="dot" w:pos="9628"/>
      </w:tabs>
      <w:spacing w:before="120"/>
      <w:ind w:left="567" w:hanging="567"/>
    </w:pPr>
    <w:rPr>
      <w:rFonts w:eastAsia="Times"/>
      <w:b/>
      <w:noProof/>
    </w:rPr>
  </w:style>
  <w:style w:type="paragraph" w:styleId="Sommario2">
    <w:name w:val="toc 2"/>
    <w:basedOn w:val="Normale"/>
    <w:next w:val="Normale"/>
    <w:autoRedefine/>
    <w:uiPriority w:val="39"/>
    <w:rsid w:val="004B54F5"/>
    <w:pPr>
      <w:tabs>
        <w:tab w:val="left" w:pos="1260"/>
        <w:tab w:val="right" w:leader="dot" w:pos="9628"/>
      </w:tabs>
      <w:spacing w:before="60"/>
      <w:ind w:left="1134" w:hanging="567"/>
    </w:pPr>
  </w:style>
  <w:style w:type="paragraph" w:styleId="Sommario3">
    <w:name w:val="toc 3"/>
    <w:basedOn w:val="Normale"/>
    <w:next w:val="Normale"/>
    <w:autoRedefine/>
    <w:uiPriority w:val="39"/>
    <w:rsid w:val="00AB61D1"/>
    <w:pPr>
      <w:tabs>
        <w:tab w:val="left" w:pos="1440"/>
        <w:tab w:val="right" w:leader="dot" w:pos="9628"/>
      </w:tabs>
      <w:ind w:left="1871" w:hanging="737"/>
    </w:pPr>
  </w:style>
  <w:style w:type="paragraph" w:styleId="Sommario4">
    <w:name w:val="toc 4"/>
    <w:basedOn w:val="Normale"/>
    <w:next w:val="Normale"/>
    <w:autoRedefine/>
    <w:uiPriority w:val="39"/>
    <w:pPr>
      <w:tabs>
        <w:tab w:val="left" w:pos="1680"/>
        <w:tab w:val="right" w:leader="dot" w:pos="9628"/>
      </w:tabs>
      <w:ind w:left="2721" w:hanging="907"/>
    </w:pPr>
  </w:style>
  <w:style w:type="character" w:styleId="Collegamentoipertestuale">
    <w:name w:val="Hyperlink"/>
    <w:uiPriority w:val="99"/>
    <w:rPr>
      <w:color w:val="0000FF"/>
      <w:u w:val="single"/>
    </w:rPr>
  </w:style>
  <w:style w:type="character" w:styleId="Numeropagina">
    <w:name w:val="page number"/>
    <w:basedOn w:val="Carpredefinitoparagrafo"/>
    <w:semiHidden/>
  </w:style>
  <w:style w:type="paragraph" w:styleId="Corpodeltesto2">
    <w:name w:val="Body Text 2"/>
    <w:basedOn w:val="Normale"/>
    <w:semiHidden/>
    <w:rPr>
      <w:color w:val="FF0000"/>
    </w:rPr>
  </w:style>
  <w:style w:type="paragraph" w:customStyle="1" w:styleId="Default">
    <w:name w:val="Default"/>
    <w:rsid w:val="008745E6"/>
    <w:pPr>
      <w:autoSpaceDE w:val="0"/>
      <w:autoSpaceDN w:val="0"/>
      <w:adjustRightInd w:val="0"/>
    </w:pPr>
    <w:rPr>
      <w:color w:val="000000"/>
      <w:sz w:val="24"/>
      <w:szCs w:val="24"/>
    </w:rPr>
  </w:style>
  <w:style w:type="character" w:customStyle="1" w:styleId="PidipaginaCarattere">
    <w:name w:val="Piè di pagina Carattere"/>
    <w:link w:val="Pidipagina"/>
    <w:uiPriority w:val="99"/>
    <w:rsid w:val="0047253D"/>
    <w:rPr>
      <w:rFonts w:ascii="Arial" w:eastAsia="Times" w:hAnsi="Arial"/>
      <w:color w:val="808080"/>
      <w:sz w:val="18"/>
      <w:lang w:val="en-GB" w:eastAsia="en-US"/>
    </w:rPr>
  </w:style>
  <w:style w:type="table" w:styleId="Grigliatabella">
    <w:name w:val="Table Grid"/>
    <w:basedOn w:val="Tabellanormale"/>
    <w:uiPriority w:val="59"/>
    <w:rsid w:val="0053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71FEB"/>
    <w:rPr>
      <w:sz w:val="24"/>
      <w:szCs w:val="24"/>
    </w:rPr>
  </w:style>
  <w:style w:type="paragraph" w:styleId="Testonormale">
    <w:name w:val="Plain Text"/>
    <w:basedOn w:val="Normale"/>
    <w:link w:val="TestonormaleCarattere"/>
    <w:semiHidden/>
    <w:rsid w:val="00F71EFD"/>
    <w:pPr>
      <w:numPr>
        <w:numId w:val="14"/>
      </w:numPr>
      <w:tabs>
        <w:tab w:val="clear" w:pos="720"/>
      </w:tabs>
      <w:spacing w:line="360" w:lineRule="auto"/>
      <w:ind w:left="0" w:firstLine="709"/>
    </w:pPr>
  </w:style>
  <w:style w:type="character" w:customStyle="1" w:styleId="TestonormaleCarattere">
    <w:name w:val="Testo normale Carattere"/>
    <w:link w:val="Testonormale"/>
    <w:semiHidden/>
    <w:rsid w:val="00F71EFD"/>
    <w:rPr>
      <w:sz w:val="24"/>
      <w:szCs w:val="24"/>
    </w:rPr>
  </w:style>
  <w:style w:type="character" w:customStyle="1" w:styleId="ParagrafoelencoCarattere">
    <w:name w:val="Paragrafo elenco Carattere"/>
    <w:aliases w:val="Lettre d'introduction Carattere,List Paragraph1 Carattere,1st level - Bullet List Paragraph Carattere,Medium Grid 1 - Accent 21 Carattere,Normal bullet 2 Carattere,Bullet list Carattere,Numbered List Carattere"/>
    <w:link w:val="Paragrafoelenco"/>
    <w:locked/>
    <w:rsid w:val="00AE47BD"/>
  </w:style>
  <w:style w:type="paragraph" w:styleId="Paragrafoelenco">
    <w:name w:val="List Paragraph"/>
    <w:aliases w:val="Lettre d'introduction,List Paragraph1,1st level - Bullet List Paragraph,Medium Grid 1 - Accent 21,Normal bullet 2,Bullet list,Numbered List"/>
    <w:basedOn w:val="Normale"/>
    <w:link w:val="ParagrafoelencoCarattere"/>
    <w:qFormat/>
    <w:rsid w:val="00AE47BD"/>
    <w:pPr>
      <w:spacing w:after="160" w:line="254" w:lineRule="auto"/>
      <w:ind w:left="720"/>
      <w:contextualSpacing/>
      <w:jc w:val="left"/>
    </w:pPr>
    <w:rPr>
      <w:sz w:val="20"/>
      <w:szCs w:val="20"/>
    </w:rPr>
  </w:style>
  <w:style w:type="paragraph" w:customStyle="1" w:styleId="titoli">
    <w:name w:val="(titoli)"/>
    <w:basedOn w:val="Normale"/>
    <w:next w:val="Normale"/>
    <w:rsid w:val="00C44673"/>
    <w:pPr>
      <w:numPr>
        <w:numId w:val="22"/>
      </w:numPr>
      <w:spacing w:before="480" w:after="120"/>
      <w:jc w:val="center"/>
      <w:outlineLvl w:val="0"/>
    </w:pPr>
    <w:rPr>
      <w:b/>
      <w:smallCaps/>
      <w:szCs w:val="20"/>
    </w:rPr>
  </w:style>
  <w:style w:type="paragraph" w:customStyle="1" w:styleId="elencoarabo">
    <w:name w:val="(elenco arabo)"/>
    <w:basedOn w:val="Normale"/>
    <w:rsid w:val="00C44673"/>
    <w:pPr>
      <w:numPr>
        <w:ilvl w:val="5"/>
        <w:numId w:val="22"/>
      </w:numPr>
      <w:tabs>
        <w:tab w:val="left" w:pos="851"/>
      </w:tabs>
      <w:spacing w:after="120"/>
      <w:contextualSpacing/>
      <w:outlineLvl w:val="5"/>
    </w:pPr>
    <w:rPr>
      <w:szCs w:val="20"/>
    </w:rPr>
  </w:style>
  <w:style w:type="paragraph" w:customStyle="1" w:styleId="elencoromano">
    <w:name w:val="(elenco romano)"/>
    <w:basedOn w:val="Normale"/>
    <w:rsid w:val="00C44673"/>
    <w:pPr>
      <w:numPr>
        <w:ilvl w:val="6"/>
        <w:numId w:val="22"/>
      </w:numPr>
      <w:tabs>
        <w:tab w:val="left" w:pos="1418"/>
      </w:tabs>
      <w:outlineLvl w:val="6"/>
    </w:pPr>
    <w:rPr>
      <w:szCs w:val="20"/>
    </w:rPr>
  </w:style>
  <w:style w:type="paragraph" w:customStyle="1" w:styleId="commi">
    <w:name w:val="(commi)"/>
    <w:basedOn w:val="Normale"/>
    <w:rsid w:val="00C44673"/>
    <w:pPr>
      <w:numPr>
        <w:ilvl w:val="4"/>
        <w:numId w:val="22"/>
      </w:numPr>
      <w:spacing w:before="120" w:after="120"/>
      <w:outlineLvl w:val="4"/>
    </w:pPr>
    <w:rPr>
      <w:szCs w:val="20"/>
    </w:rPr>
  </w:style>
  <w:style w:type="paragraph" w:customStyle="1" w:styleId="capitoli">
    <w:name w:val="(capitoli)"/>
    <w:basedOn w:val="Normale"/>
    <w:next w:val="Normale"/>
    <w:rsid w:val="00C44673"/>
    <w:pPr>
      <w:numPr>
        <w:ilvl w:val="1"/>
        <w:numId w:val="22"/>
      </w:numPr>
      <w:spacing w:after="240"/>
      <w:outlineLvl w:val="1"/>
    </w:pPr>
    <w:rPr>
      <w:b/>
      <w:szCs w:val="20"/>
    </w:rPr>
  </w:style>
  <w:style w:type="paragraph" w:customStyle="1" w:styleId="numarticoli">
    <w:name w:val="(num. articoli)"/>
    <w:basedOn w:val="Normale"/>
    <w:next w:val="nomearticoli"/>
    <w:rsid w:val="00C44673"/>
    <w:pPr>
      <w:keepNext/>
      <w:keepLines/>
      <w:numPr>
        <w:ilvl w:val="2"/>
        <w:numId w:val="22"/>
      </w:numPr>
      <w:spacing w:before="240" w:after="120"/>
      <w:jc w:val="center"/>
      <w:outlineLvl w:val="2"/>
    </w:pPr>
    <w:rPr>
      <w:i/>
      <w:szCs w:val="20"/>
    </w:rPr>
  </w:style>
  <w:style w:type="paragraph" w:customStyle="1" w:styleId="nomearticoli">
    <w:name w:val="(nome articoli)"/>
    <w:basedOn w:val="Normale"/>
    <w:next w:val="commi"/>
    <w:rsid w:val="00C44673"/>
    <w:pPr>
      <w:keepNext/>
      <w:keepLines/>
      <w:numPr>
        <w:ilvl w:val="3"/>
        <w:numId w:val="22"/>
      </w:numPr>
      <w:jc w:val="center"/>
      <w:outlineLvl w:val="3"/>
    </w:pPr>
    <w:rPr>
      <w:i/>
      <w:szCs w:val="20"/>
    </w:rPr>
  </w:style>
  <w:style w:type="paragraph" w:customStyle="1" w:styleId="elenconumeri">
    <w:name w:val="(elenco numeri)"/>
    <w:basedOn w:val="Normale"/>
    <w:rsid w:val="00C44673"/>
    <w:pPr>
      <w:numPr>
        <w:ilvl w:val="7"/>
        <w:numId w:val="22"/>
      </w:numPr>
      <w:tabs>
        <w:tab w:val="left" w:pos="1418"/>
      </w:tabs>
      <w:outlineLvl w:val="7"/>
    </w:pPr>
    <w:rPr>
      <w:szCs w:val="20"/>
    </w:rPr>
  </w:style>
  <w:style w:type="character" w:styleId="Rimandocommento">
    <w:name w:val="annotation reference"/>
    <w:basedOn w:val="Carpredefinitoparagrafo"/>
    <w:uiPriority w:val="99"/>
    <w:semiHidden/>
    <w:unhideWhenUsed/>
    <w:rsid w:val="00D91639"/>
    <w:rPr>
      <w:sz w:val="16"/>
      <w:szCs w:val="16"/>
    </w:rPr>
  </w:style>
  <w:style w:type="paragraph" w:styleId="Testocommento">
    <w:name w:val="annotation text"/>
    <w:basedOn w:val="Normale"/>
    <w:link w:val="TestocommentoCarattere"/>
    <w:uiPriority w:val="99"/>
    <w:unhideWhenUsed/>
    <w:rsid w:val="00D91639"/>
    <w:rPr>
      <w:sz w:val="20"/>
      <w:szCs w:val="20"/>
    </w:rPr>
  </w:style>
  <w:style w:type="character" w:customStyle="1" w:styleId="TestocommentoCarattere">
    <w:name w:val="Testo commento Carattere"/>
    <w:basedOn w:val="Carpredefinitoparagrafo"/>
    <w:link w:val="Testocommento"/>
    <w:uiPriority w:val="99"/>
    <w:rsid w:val="00D91639"/>
  </w:style>
  <w:style w:type="paragraph" w:styleId="Soggettocommento">
    <w:name w:val="annotation subject"/>
    <w:basedOn w:val="Testocommento"/>
    <w:next w:val="Testocommento"/>
    <w:link w:val="SoggettocommentoCarattere"/>
    <w:uiPriority w:val="99"/>
    <w:semiHidden/>
    <w:unhideWhenUsed/>
    <w:rsid w:val="00D91639"/>
    <w:rPr>
      <w:b/>
      <w:bCs/>
    </w:rPr>
  </w:style>
  <w:style w:type="character" w:customStyle="1" w:styleId="SoggettocommentoCarattere">
    <w:name w:val="Soggetto commento Carattere"/>
    <w:basedOn w:val="TestocommentoCarattere"/>
    <w:link w:val="Soggettocommento"/>
    <w:uiPriority w:val="99"/>
    <w:semiHidden/>
    <w:rsid w:val="00D91639"/>
    <w:rPr>
      <w:b/>
      <w:bCs/>
    </w:rPr>
  </w:style>
  <w:style w:type="character" w:customStyle="1" w:styleId="Titolo3Carattere">
    <w:name w:val="Titolo 3 Carattere"/>
    <w:basedOn w:val="Carpredefinitoparagrafo"/>
    <w:link w:val="Titolo3"/>
    <w:rsid w:val="009B03FD"/>
    <w:rPr>
      <w:rFonts w:cs="Arial"/>
      <w:b/>
      <w:bCs/>
      <w:i/>
      <w:sz w:val="24"/>
      <w:szCs w:val="24"/>
      <w:lang w:eastAsia="en-GB"/>
    </w:rPr>
  </w:style>
  <w:style w:type="character" w:customStyle="1" w:styleId="UnresolvedMention">
    <w:name w:val="Unresolved Mention"/>
    <w:basedOn w:val="Carpredefinitoparagrafo"/>
    <w:uiPriority w:val="99"/>
    <w:semiHidden/>
    <w:unhideWhenUsed/>
    <w:rsid w:val="00907D08"/>
    <w:rPr>
      <w:color w:val="605E5C"/>
      <w:shd w:val="clear" w:color="auto" w:fill="E1DFDD"/>
    </w:rPr>
  </w:style>
  <w:style w:type="paragraph" w:styleId="Titolosommario">
    <w:name w:val="TOC Heading"/>
    <w:basedOn w:val="Titolo1"/>
    <w:next w:val="Normale"/>
    <w:uiPriority w:val="39"/>
    <w:unhideWhenUsed/>
    <w:qFormat/>
    <w:rsid w:val="009C581C"/>
    <w:pPr>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character" w:customStyle="1" w:styleId="IntestazioneCarattere">
    <w:name w:val="Intestazione Carattere"/>
    <w:basedOn w:val="Carpredefinitoparagrafo"/>
    <w:link w:val="Intestazione"/>
    <w:uiPriority w:val="99"/>
    <w:rsid w:val="00BD4048"/>
    <w:rPr>
      <w:rFonts w:ascii="Arial" w:eastAsia="Times" w:hAnsi="Arial"/>
      <w:color w:val="7E8B7A"/>
      <w:sz w:val="18"/>
      <w:lang w:val="en-GB" w:eastAsia="en-US"/>
    </w:rPr>
  </w:style>
  <w:style w:type="character" w:customStyle="1" w:styleId="ui-provider">
    <w:name w:val="ui-provider"/>
    <w:basedOn w:val="Carpredefinitoparagrafo"/>
    <w:rsid w:val="00517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36640">
      <w:bodyDiv w:val="1"/>
      <w:marLeft w:val="0"/>
      <w:marRight w:val="0"/>
      <w:marTop w:val="0"/>
      <w:marBottom w:val="0"/>
      <w:divBdr>
        <w:top w:val="none" w:sz="0" w:space="0" w:color="auto"/>
        <w:left w:val="none" w:sz="0" w:space="0" w:color="auto"/>
        <w:bottom w:val="none" w:sz="0" w:space="0" w:color="auto"/>
        <w:right w:val="none" w:sz="0" w:space="0" w:color="auto"/>
      </w:divBdr>
    </w:div>
    <w:div w:id="1316185637">
      <w:bodyDiv w:val="1"/>
      <w:marLeft w:val="0"/>
      <w:marRight w:val="0"/>
      <w:marTop w:val="0"/>
      <w:marBottom w:val="0"/>
      <w:divBdr>
        <w:top w:val="none" w:sz="0" w:space="0" w:color="auto"/>
        <w:left w:val="none" w:sz="0" w:space="0" w:color="auto"/>
        <w:bottom w:val="none" w:sz="0" w:space="0" w:color="auto"/>
        <w:right w:val="none" w:sz="0" w:space="0" w:color="auto"/>
      </w:divBdr>
    </w:div>
    <w:div w:id="18818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5F6E2B1AFD324F9FF0864B9EC8680C" ma:contentTypeVersion="10" ma:contentTypeDescription="Creare un nuovo documento." ma:contentTypeScope="" ma:versionID="24f6e61d6caa39b7cc65ae44a270c72e">
  <xsd:schema xmlns:xsd="http://www.w3.org/2001/XMLSchema" xmlns:xs="http://www.w3.org/2001/XMLSchema" xmlns:p="http://schemas.microsoft.com/office/2006/metadata/properties" xmlns:ns2="b9006fdf-e617-4dc8-9237-7f24c96f69d6" xmlns:ns3="aee051c8-a468-4d25-929a-33095c924ecb" targetNamespace="http://schemas.microsoft.com/office/2006/metadata/properties" ma:root="true" ma:fieldsID="e9edb7a81dd398dfac1d20936ec1b49b" ns2:_="" ns3:_="">
    <xsd:import namespace="b9006fdf-e617-4dc8-9237-7f24c96f69d6"/>
    <xsd:import namespace="aee051c8-a468-4d25-929a-33095c924e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06fdf-e617-4dc8-9237-7f24c96f6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a80affac-8c33-4d97-bb50-84f6a7cdd8b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051c8-a468-4d25-929a-33095c924ecb"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ee051c8-a468-4d25-929a-33095c924ecb">
      <UserInfo>
        <DisplayName>Putzu Emma Maria</DisplayName>
        <AccountId>40</AccountId>
        <AccountType/>
      </UserInfo>
    </SharedWithUsers>
    <lcf76f155ced4ddcb4097134ff3c332f xmlns="b9006fdf-e617-4dc8-9237-7f24c96f69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3C7DC-08C4-4ECA-8030-7868AE36B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06fdf-e617-4dc8-9237-7f24c96f69d6"/>
    <ds:schemaRef ds:uri="aee051c8-a468-4d25-929a-33095c924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C480F-DC99-47DD-BD13-7D46B7D4490C}">
  <ds:schemaRefs>
    <ds:schemaRef ds:uri="http://schemas.microsoft.com/sharepoint/v3/contenttype/forms"/>
  </ds:schemaRefs>
</ds:datastoreItem>
</file>

<file path=customXml/itemProps3.xml><?xml version="1.0" encoding="utf-8"?>
<ds:datastoreItem xmlns:ds="http://schemas.openxmlformats.org/officeDocument/2006/customXml" ds:itemID="{E76F3980-ED0C-4387-BA43-0577A34AF08C}">
  <ds:schemaRefs>
    <ds:schemaRef ds:uri="http://schemas.microsoft.com/office/2006/metadata/properties"/>
    <ds:schemaRef ds:uri="http://schemas.microsoft.com/office/infopath/2007/PartnerControls"/>
    <ds:schemaRef ds:uri="aee051c8-a468-4d25-929a-33095c924ecb"/>
    <ds:schemaRef ds:uri="b9006fdf-e617-4dc8-9237-7f24c96f69d6"/>
  </ds:schemaRefs>
</ds:datastoreItem>
</file>

<file path=customXml/itemProps4.xml><?xml version="1.0" encoding="utf-8"?>
<ds:datastoreItem xmlns:ds="http://schemas.openxmlformats.org/officeDocument/2006/customXml" ds:itemID="{A0D3F46F-BEDA-4A67-BF89-EF1D543E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6700</Words>
  <Characters>38194</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44805</CharactersWithSpaces>
  <SharedDoc>false</SharedDoc>
  <HLinks>
    <vt:vector size="258" baseType="variant">
      <vt:variant>
        <vt:i4>1638457</vt:i4>
      </vt:variant>
      <vt:variant>
        <vt:i4>254</vt:i4>
      </vt:variant>
      <vt:variant>
        <vt:i4>0</vt:i4>
      </vt:variant>
      <vt:variant>
        <vt:i4>5</vt:i4>
      </vt:variant>
      <vt:variant>
        <vt:lpwstr/>
      </vt:variant>
      <vt:variant>
        <vt:lpwstr>_Toc148965664</vt:lpwstr>
      </vt:variant>
      <vt:variant>
        <vt:i4>1638457</vt:i4>
      </vt:variant>
      <vt:variant>
        <vt:i4>248</vt:i4>
      </vt:variant>
      <vt:variant>
        <vt:i4>0</vt:i4>
      </vt:variant>
      <vt:variant>
        <vt:i4>5</vt:i4>
      </vt:variant>
      <vt:variant>
        <vt:lpwstr/>
      </vt:variant>
      <vt:variant>
        <vt:lpwstr>_Toc148965663</vt:lpwstr>
      </vt:variant>
      <vt:variant>
        <vt:i4>1638457</vt:i4>
      </vt:variant>
      <vt:variant>
        <vt:i4>242</vt:i4>
      </vt:variant>
      <vt:variant>
        <vt:i4>0</vt:i4>
      </vt:variant>
      <vt:variant>
        <vt:i4>5</vt:i4>
      </vt:variant>
      <vt:variant>
        <vt:lpwstr/>
      </vt:variant>
      <vt:variant>
        <vt:lpwstr>_Toc148965662</vt:lpwstr>
      </vt:variant>
      <vt:variant>
        <vt:i4>1638457</vt:i4>
      </vt:variant>
      <vt:variant>
        <vt:i4>236</vt:i4>
      </vt:variant>
      <vt:variant>
        <vt:i4>0</vt:i4>
      </vt:variant>
      <vt:variant>
        <vt:i4>5</vt:i4>
      </vt:variant>
      <vt:variant>
        <vt:lpwstr/>
      </vt:variant>
      <vt:variant>
        <vt:lpwstr>_Toc148965661</vt:lpwstr>
      </vt:variant>
      <vt:variant>
        <vt:i4>1638457</vt:i4>
      </vt:variant>
      <vt:variant>
        <vt:i4>230</vt:i4>
      </vt:variant>
      <vt:variant>
        <vt:i4>0</vt:i4>
      </vt:variant>
      <vt:variant>
        <vt:i4>5</vt:i4>
      </vt:variant>
      <vt:variant>
        <vt:lpwstr/>
      </vt:variant>
      <vt:variant>
        <vt:lpwstr>_Toc148965660</vt:lpwstr>
      </vt:variant>
      <vt:variant>
        <vt:i4>1703993</vt:i4>
      </vt:variant>
      <vt:variant>
        <vt:i4>224</vt:i4>
      </vt:variant>
      <vt:variant>
        <vt:i4>0</vt:i4>
      </vt:variant>
      <vt:variant>
        <vt:i4>5</vt:i4>
      </vt:variant>
      <vt:variant>
        <vt:lpwstr/>
      </vt:variant>
      <vt:variant>
        <vt:lpwstr>_Toc148965659</vt:lpwstr>
      </vt:variant>
      <vt:variant>
        <vt:i4>1703993</vt:i4>
      </vt:variant>
      <vt:variant>
        <vt:i4>218</vt:i4>
      </vt:variant>
      <vt:variant>
        <vt:i4>0</vt:i4>
      </vt:variant>
      <vt:variant>
        <vt:i4>5</vt:i4>
      </vt:variant>
      <vt:variant>
        <vt:lpwstr/>
      </vt:variant>
      <vt:variant>
        <vt:lpwstr>_Toc148965658</vt:lpwstr>
      </vt:variant>
      <vt:variant>
        <vt:i4>1703993</vt:i4>
      </vt:variant>
      <vt:variant>
        <vt:i4>212</vt:i4>
      </vt:variant>
      <vt:variant>
        <vt:i4>0</vt:i4>
      </vt:variant>
      <vt:variant>
        <vt:i4>5</vt:i4>
      </vt:variant>
      <vt:variant>
        <vt:lpwstr/>
      </vt:variant>
      <vt:variant>
        <vt:lpwstr>_Toc148965657</vt:lpwstr>
      </vt:variant>
      <vt:variant>
        <vt:i4>1703993</vt:i4>
      </vt:variant>
      <vt:variant>
        <vt:i4>206</vt:i4>
      </vt:variant>
      <vt:variant>
        <vt:i4>0</vt:i4>
      </vt:variant>
      <vt:variant>
        <vt:i4>5</vt:i4>
      </vt:variant>
      <vt:variant>
        <vt:lpwstr/>
      </vt:variant>
      <vt:variant>
        <vt:lpwstr>_Toc148965656</vt:lpwstr>
      </vt:variant>
      <vt:variant>
        <vt:i4>1703993</vt:i4>
      </vt:variant>
      <vt:variant>
        <vt:i4>200</vt:i4>
      </vt:variant>
      <vt:variant>
        <vt:i4>0</vt:i4>
      </vt:variant>
      <vt:variant>
        <vt:i4>5</vt:i4>
      </vt:variant>
      <vt:variant>
        <vt:lpwstr/>
      </vt:variant>
      <vt:variant>
        <vt:lpwstr>_Toc148965655</vt:lpwstr>
      </vt:variant>
      <vt:variant>
        <vt:i4>1703993</vt:i4>
      </vt:variant>
      <vt:variant>
        <vt:i4>194</vt:i4>
      </vt:variant>
      <vt:variant>
        <vt:i4>0</vt:i4>
      </vt:variant>
      <vt:variant>
        <vt:i4>5</vt:i4>
      </vt:variant>
      <vt:variant>
        <vt:lpwstr/>
      </vt:variant>
      <vt:variant>
        <vt:lpwstr>_Toc148965654</vt:lpwstr>
      </vt:variant>
      <vt:variant>
        <vt:i4>1703993</vt:i4>
      </vt:variant>
      <vt:variant>
        <vt:i4>188</vt:i4>
      </vt:variant>
      <vt:variant>
        <vt:i4>0</vt:i4>
      </vt:variant>
      <vt:variant>
        <vt:i4>5</vt:i4>
      </vt:variant>
      <vt:variant>
        <vt:lpwstr/>
      </vt:variant>
      <vt:variant>
        <vt:lpwstr>_Toc148965653</vt:lpwstr>
      </vt:variant>
      <vt:variant>
        <vt:i4>1703993</vt:i4>
      </vt:variant>
      <vt:variant>
        <vt:i4>182</vt:i4>
      </vt:variant>
      <vt:variant>
        <vt:i4>0</vt:i4>
      </vt:variant>
      <vt:variant>
        <vt:i4>5</vt:i4>
      </vt:variant>
      <vt:variant>
        <vt:lpwstr/>
      </vt:variant>
      <vt:variant>
        <vt:lpwstr>_Toc148965652</vt:lpwstr>
      </vt:variant>
      <vt:variant>
        <vt:i4>1703993</vt:i4>
      </vt:variant>
      <vt:variant>
        <vt:i4>176</vt:i4>
      </vt:variant>
      <vt:variant>
        <vt:i4>0</vt:i4>
      </vt:variant>
      <vt:variant>
        <vt:i4>5</vt:i4>
      </vt:variant>
      <vt:variant>
        <vt:lpwstr/>
      </vt:variant>
      <vt:variant>
        <vt:lpwstr>_Toc148965651</vt:lpwstr>
      </vt:variant>
      <vt:variant>
        <vt:i4>1703993</vt:i4>
      </vt:variant>
      <vt:variant>
        <vt:i4>170</vt:i4>
      </vt:variant>
      <vt:variant>
        <vt:i4>0</vt:i4>
      </vt:variant>
      <vt:variant>
        <vt:i4>5</vt:i4>
      </vt:variant>
      <vt:variant>
        <vt:lpwstr/>
      </vt:variant>
      <vt:variant>
        <vt:lpwstr>_Toc148965650</vt:lpwstr>
      </vt:variant>
      <vt:variant>
        <vt:i4>1769529</vt:i4>
      </vt:variant>
      <vt:variant>
        <vt:i4>164</vt:i4>
      </vt:variant>
      <vt:variant>
        <vt:i4>0</vt:i4>
      </vt:variant>
      <vt:variant>
        <vt:i4>5</vt:i4>
      </vt:variant>
      <vt:variant>
        <vt:lpwstr/>
      </vt:variant>
      <vt:variant>
        <vt:lpwstr>_Toc148965649</vt:lpwstr>
      </vt:variant>
      <vt:variant>
        <vt:i4>1769529</vt:i4>
      </vt:variant>
      <vt:variant>
        <vt:i4>158</vt:i4>
      </vt:variant>
      <vt:variant>
        <vt:i4>0</vt:i4>
      </vt:variant>
      <vt:variant>
        <vt:i4>5</vt:i4>
      </vt:variant>
      <vt:variant>
        <vt:lpwstr/>
      </vt:variant>
      <vt:variant>
        <vt:lpwstr>_Toc148965648</vt:lpwstr>
      </vt:variant>
      <vt:variant>
        <vt:i4>1769529</vt:i4>
      </vt:variant>
      <vt:variant>
        <vt:i4>152</vt:i4>
      </vt:variant>
      <vt:variant>
        <vt:i4>0</vt:i4>
      </vt:variant>
      <vt:variant>
        <vt:i4>5</vt:i4>
      </vt:variant>
      <vt:variant>
        <vt:lpwstr/>
      </vt:variant>
      <vt:variant>
        <vt:lpwstr>_Toc148965647</vt:lpwstr>
      </vt:variant>
      <vt:variant>
        <vt:i4>1769529</vt:i4>
      </vt:variant>
      <vt:variant>
        <vt:i4>146</vt:i4>
      </vt:variant>
      <vt:variant>
        <vt:i4>0</vt:i4>
      </vt:variant>
      <vt:variant>
        <vt:i4>5</vt:i4>
      </vt:variant>
      <vt:variant>
        <vt:lpwstr/>
      </vt:variant>
      <vt:variant>
        <vt:lpwstr>_Toc148965646</vt:lpwstr>
      </vt:variant>
      <vt:variant>
        <vt:i4>1769529</vt:i4>
      </vt:variant>
      <vt:variant>
        <vt:i4>140</vt:i4>
      </vt:variant>
      <vt:variant>
        <vt:i4>0</vt:i4>
      </vt:variant>
      <vt:variant>
        <vt:i4>5</vt:i4>
      </vt:variant>
      <vt:variant>
        <vt:lpwstr/>
      </vt:variant>
      <vt:variant>
        <vt:lpwstr>_Toc148965645</vt:lpwstr>
      </vt:variant>
      <vt:variant>
        <vt:i4>1769529</vt:i4>
      </vt:variant>
      <vt:variant>
        <vt:i4>134</vt:i4>
      </vt:variant>
      <vt:variant>
        <vt:i4>0</vt:i4>
      </vt:variant>
      <vt:variant>
        <vt:i4>5</vt:i4>
      </vt:variant>
      <vt:variant>
        <vt:lpwstr/>
      </vt:variant>
      <vt:variant>
        <vt:lpwstr>_Toc148965644</vt:lpwstr>
      </vt:variant>
      <vt:variant>
        <vt:i4>1769529</vt:i4>
      </vt:variant>
      <vt:variant>
        <vt:i4>128</vt:i4>
      </vt:variant>
      <vt:variant>
        <vt:i4>0</vt:i4>
      </vt:variant>
      <vt:variant>
        <vt:i4>5</vt:i4>
      </vt:variant>
      <vt:variant>
        <vt:lpwstr/>
      </vt:variant>
      <vt:variant>
        <vt:lpwstr>_Toc148965643</vt:lpwstr>
      </vt:variant>
      <vt:variant>
        <vt:i4>1769529</vt:i4>
      </vt:variant>
      <vt:variant>
        <vt:i4>122</vt:i4>
      </vt:variant>
      <vt:variant>
        <vt:i4>0</vt:i4>
      </vt:variant>
      <vt:variant>
        <vt:i4>5</vt:i4>
      </vt:variant>
      <vt:variant>
        <vt:lpwstr/>
      </vt:variant>
      <vt:variant>
        <vt:lpwstr>_Toc148965642</vt:lpwstr>
      </vt:variant>
      <vt:variant>
        <vt:i4>1769529</vt:i4>
      </vt:variant>
      <vt:variant>
        <vt:i4>116</vt:i4>
      </vt:variant>
      <vt:variant>
        <vt:i4>0</vt:i4>
      </vt:variant>
      <vt:variant>
        <vt:i4>5</vt:i4>
      </vt:variant>
      <vt:variant>
        <vt:lpwstr/>
      </vt:variant>
      <vt:variant>
        <vt:lpwstr>_Toc148965641</vt:lpwstr>
      </vt:variant>
      <vt:variant>
        <vt:i4>1769529</vt:i4>
      </vt:variant>
      <vt:variant>
        <vt:i4>110</vt:i4>
      </vt:variant>
      <vt:variant>
        <vt:i4>0</vt:i4>
      </vt:variant>
      <vt:variant>
        <vt:i4>5</vt:i4>
      </vt:variant>
      <vt:variant>
        <vt:lpwstr/>
      </vt:variant>
      <vt:variant>
        <vt:lpwstr>_Toc148965640</vt:lpwstr>
      </vt:variant>
      <vt:variant>
        <vt:i4>1835065</vt:i4>
      </vt:variant>
      <vt:variant>
        <vt:i4>104</vt:i4>
      </vt:variant>
      <vt:variant>
        <vt:i4>0</vt:i4>
      </vt:variant>
      <vt:variant>
        <vt:i4>5</vt:i4>
      </vt:variant>
      <vt:variant>
        <vt:lpwstr/>
      </vt:variant>
      <vt:variant>
        <vt:lpwstr>_Toc148965639</vt:lpwstr>
      </vt:variant>
      <vt:variant>
        <vt:i4>1835065</vt:i4>
      </vt:variant>
      <vt:variant>
        <vt:i4>98</vt:i4>
      </vt:variant>
      <vt:variant>
        <vt:i4>0</vt:i4>
      </vt:variant>
      <vt:variant>
        <vt:i4>5</vt:i4>
      </vt:variant>
      <vt:variant>
        <vt:lpwstr/>
      </vt:variant>
      <vt:variant>
        <vt:lpwstr>_Toc148965638</vt:lpwstr>
      </vt:variant>
      <vt:variant>
        <vt:i4>1835065</vt:i4>
      </vt:variant>
      <vt:variant>
        <vt:i4>92</vt:i4>
      </vt:variant>
      <vt:variant>
        <vt:i4>0</vt:i4>
      </vt:variant>
      <vt:variant>
        <vt:i4>5</vt:i4>
      </vt:variant>
      <vt:variant>
        <vt:lpwstr/>
      </vt:variant>
      <vt:variant>
        <vt:lpwstr>_Toc148965637</vt:lpwstr>
      </vt:variant>
      <vt:variant>
        <vt:i4>1835065</vt:i4>
      </vt:variant>
      <vt:variant>
        <vt:i4>86</vt:i4>
      </vt:variant>
      <vt:variant>
        <vt:i4>0</vt:i4>
      </vt:variant>
      <vt:variant>
        <vt:i4>5</vt:i4>
      </vt:variant>
      <vt:variant>
        <vt:lpwstr/>
      </vt:variant>
      <vt:variant>
        <vt:lpwstr>_Toc148965636</vt:lpwstr>
      </vt:variant>
      <vt:variant>
        <vt:i4>1835065</vt:i4>
      </vt:variant>
      <vt:variant>
        <vt:i4>80</vt:i4>
      </vt:variant>
      <vt:variant>
        <vt:i4>0</vt:i4>
      </vt:variant>
      <vt:variant>
        <vt:i4>5</vt:i4>
      </vt:variant>
      <vt:variant>
        <vt:lpwstr/>
      </vt:variant>
      <vt:variant>
        <vt:lpwstr>_Toc148965635</vt:lpwstr>
      </vt:variant>
      <vt:variant>
        <vt:i4>1835065</vt:i4>
      </vt:variant>
      <vt:variant>
        <vt:i4>74</vt:i4>
      </vt:variant>
      <vt:variant>
        <vt:i4>0</vt:i4>
      </vt:variant>
      <vt:variant>
        <vt:i4>5</vt:i4>
      </vt:variant>
      <vt:variant>
        <vt:lpwstr/>
      </vt:variant>
      <vt:variant>
        <vt:lpwstr>_Toc148965634</vt:lpwstr>
      </vt:variant>
      <vt:variant>
        <vt:i4>1835065</vt:i4>
      </vt:variant>
      <vt:variant>
        <vt:i4>68</vt:i4>
      </vt:variant>
      <vt:variant>
        <vt:i4>0</vt:i4>
      </vt:variant>
      <vt:variant>
        <vt:i4>5</vt:i4>
      </vt:variant>
      <vt:variant>
        <vt:lpwstr/>
      </vt:variant>
      <vt:variant>
        <vt:lpwstr>_Toc148965633</vt:lpwstr>
      </vt:variant>
      <vt:variant>
        <vt:i4>1835065</vt:i4>
      </vt:variant>
      <vt:variant>
        <vt:i4>62</vt:i4>
      </vt:variant>
      <vt:variant>
        <vt:i4>0</vt:i4>
      </vt:variant>
      <vt:variant>
        <vt:i4>5</vt:i4>
      </vt:variant>
      <vt:variant>
        <vt:lpwstr/>
      </vt:variant>
      <vt:variant>
        <vt:lpwstr>_Toc148965632</vt:lpwstr>
      </vt:variant>
      <vt:variant>
        <vt:i4>1835065</vt:i4>
      </vt:variant>
      <vt:variant>
        <vt:i4>56</vt:i4>
      </vt:variant>
      <vt:variant>
        <vt:i4>0</vt:i4>
      </vt:variant>
      <vt:variant>
        <vt:i4>5</vt:i4>
      </vt:variant>
      <vt:variant>
        <vt:lpwstr/>
      </vt:variant>
      <vt:variant>
        <vt:lpwstr>_Toc148965631</vt:lpwstr>
      </vt:variant>
      <vt:variant>
        <vt:i4>1835065</vt:i4>
      </vt:variant>
      <vt:variant>
        <vt:i4>50</vt:i4>
      </vt:variant>
      <vt:variant>
        <vt:i4>0</vt:i4>
      </vt:variant>
      <vt:variant>
        <vt:i4>5</vt:i4>
      </vt:variant>
      <vt:variant>
        <vt:lpwstr/>
      </vt:variant>
      <vt:variant>
        <vt:lpwstr>_Toc148965630</vt:lpwstr>
      </vt:variant>
      <vt:variant>
        <vt:i4>1900601</vt:i4>
      </vt:variant>
      <vt:variant>
        <vt:i4>44</vt:i4>
      </vt:variant>
      <vt:variant>
        <vt:i4>0</vt:i4>
      </vt:variant>
      <vt:variant>
        <vt:i4>5</vt:i4>
      </vt:variant>
      <vt:variant>
        <vt:lpwstr/>
      </vt:variant>
      <vt:variant>
        <vt:lpwstr>_Toc148965629</vt:lpwstr>
      </vt:variant>
      <vt:variant>
        <vt:i4>1900601</vt:i4>
      </vt:variant>
      <vt:variant>
        <vt:i4>38</vt:i4>
      </vt:variant>
      <vt:variant>
        <vt:i4>0</vt:i4>
      </vt:variant>
      <vt:variant>
        <vt:i4>5</vt:i4>
      </vt:variant>
      <vt:variant>
        <vt:lpwstr/>
      </vt:variant>
      <vt:variant>
        <vt:lpwstr>_Toc148965628</vt:lpwstr>
      </vt:variant>
      <vt:variant>
        <vt:i4>1900601</vt:i4>
      </vt:variant>
      <vt:variant>
        <vt:i4>32</vt:i4>
      </vt:variant>
      <vt:variant>
        <vt:i4>0</vt:i4>
      </vt:variant>
      <vt:variant>
        <vt:i4>5</vt:i4>
      </vt:variant>
      <vt:variant>
        <vt:lpwstr/>
      </vt:variant>
      <vt:variant>
        <vt:lpwstr>_Toc148965627</vt:lpwstr>
      </vt:variant>
      <vt:variant>
        <vt:i4>1900601</vt:i4>
      </vt:variant>
      <vt:variant>
        <vt:i4>26</vt:i4>
      </vt:variant>
      <vt:variant>
        <vt:i4>0</vt:i4>
      </vt:variant>
      <vt:variant>
        <vt:i4>5</vt:i4>
      </vt:variant>
      <vt:variant>
        <vt:lpwstr/>
      </vt:variant>
      <vt:variant>
        <vt:lpwstr>_Toc148965626</vt:lpwstr>
      </vt:variant>
      <vt:variant>
        <vt:i4>1900601</vt:i4>
      </vt:variant>
      <vt:variant>
        <vt:i4>20</vt:i4>
      </vt:variant>
      <vt:variant>
        <vt:i4>0</vt:i4>
      </vt:variant>
      <vt:variant>
        <vt:i4>5</vt:i4>
      </vt:variant>
      <vt:variant>
        <vt:lpwstr/>
      </vt:variant>
      <vt:variant>
        <vt:lpwstr>_Toc148965625</vt:lpwstr>
      </vt:variant>
      <vt:variant>
        <vt:i4>1900601</vt:i4>
      </vt:variant>
      <vt:variant>
        <vt:i4>14</vt:i4>
      </vt:variant>
      <vt:variant>
        <vt:i4>0</vt:i4>
      </vt:variant>
      <vt:variant>
        <vt:i4>5</vt:i4>
      </vt:variant>
      <vt:variant>
        <vt:lpwstr/>
      </vt:variant>
      <vt:variant>
        <vt:lpwstr>_Toc148965624</vt:lpwstr>
      </vt:variant>
      <vt:variant>
        <vt:i4>1900601</vt:i4>
      </vt:variant>
      <vt:variant>
        <vt:i4>8</vt:i4>
      </vt:variant>
      <vt:variant>
        <vt:i4>0</vt:i4>
      </vt:variant>
      <vt:variant>
        <vt:i4>5</vt:i4>
      </vt:variant>
      <vt:variant>
        <vt:lpwstr/>
      </vt:variant>
      <vt:variant>
        <vt:lpwstr>_Toc148965623</vt:lpwstr>
      </vt:variant>
      <vt:variant>
        <vt:i4>1900601</vt:i4>
      </vt:variant>
      <vt:variant>
        <vt:i4>2</vt:i4>
      </vt:variant>
      <vt:variant>
        <vt:i4>0</vt:i4>
      </vt:variant>
      <vt:variant>
        <vt:i4>5</vt:i4>
      </vt:variant>
      <vt:variant>
        <vt:lpwstr/>
      </vt:variant>
      <vt:variant>
        <vt:lpwstr>_Toc148965622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Utente</dc:creator>
  <cp:keywords/>
  <cp:lastModifiedBy>Utente</cp:lastModifiedBy>
  <cp:revision>2</cp:revision>
  <cp:lastPrinted>2021-11-05T15:49:00Z</cp:lastPrinted>
  <dcterms:created xsi:type="dcterms:W3CDTF">2023-11-23T08:03:00Z</dcterms:created>
  <dcterms:modified xsi:type="dcterms:W3CDTF">2023-11-23T08:03:00Z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0x0101008D5F6E2B1AFD324F9FF0864B9EC8680C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40;#Putzu Emma Maria</vt:lpwstr>
  </property>
  <property fmtid="{D5CDD505-2E9C-101B-9397-08002B2CF9AE}" pid="10" name="MediaServiceImageTags">
    <vt:lpwstr/>
  </property>
</Properties>
</file>